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4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140"/>
        <w:gridCol w:w="1042"/>
        <w:gridCol w:w="2568"/>
        <w:gridCol w:w="851"/>
        <w:gridCol w:w="2854"/>
      </w:tblGrid>
      <w:tr w:rsidR="00FB5103" w:rsidRPr="005F3B0D" w14:paraId="10F3CF7A" w14:textId="77777777" w:rsidTr="009D071A">
        <w:trPr>
          <w:trHeight w:val="538"/>
          <w:jc w:val="center"/>
        </w:trPr>
        <w:tc>
          <w:tcPr>
            <w:tcW w:w="2140" w:type="dxa"/>
            <w:vMerge w:val="restart"/>
            <w:tcBorders>
              <w:right w:val="single" w:sz="4" w:space="0" w:color="000000" w:themeColor="text1"/>
            </w:tcBorders>
            <w:vAlign w:val="center"/>
          </w:tcPr>
          <w:p w14:paraId="1F29CCFA" w14:textId="77777777" w:rsidR="00FB5103" w:rsidRPr="005F3B0D" w:rsidRDefault="00FB5103" w:rsidP="009D071A">
            <w:pPr>
              <w:jc w:val="center"/>
              <w:rPr>
                <w:rFonts w:eastAsiaTheme="minorHAnsi"/>
                <w:b/>
                <w:szCs w:val="20"/>
              </w:rPr>
            </w:pPr>
            <w:bookmarkStart w:id="0" w:name="_Hlk510686469"/>
            <w:r>
              <w:rPr>
                <w:rFonts w:eastAsiaTheme="minorHAnsi"/>
                <w:b/>
                <w:noProof/>
                <w:szCs w:val="20"/>
              </w:rPr>
              <w:drawing>
                <wp:inline distT="0" distB="0" distL="0" distR="0" wp14:anchorId="51741C46" wp14:editId="6E6D9732">
                  <wp:extent cx="1228356" cy="1293496"/>
                  <wp:effectExtent l="0" t="0" r="0" b="1905"/>
                  <wp:docPr id="7"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바른의료연구소.jpg"/>
                          <pic:cNvPicPr/>
                        </pic:nvPicPr>
                        <pic:blipFill>
                          <a:blip r:embed="rId6">
                            <a:extLst>
                              <a:ext uri="{28A0092B-C50C-407E-A947-70E740481C1C}">
                                <a14:useLocalDpi xmlns:a14="http://schemas.microsoft.com/office/drawing/2010/main" val="0"/>
                              </a:ext>
                            </a:extLst>
                          </a:blip>
                          <a:stretch>
                            <a:fillRect/>
                          </a:stretch>
                        </pic:blipFill>
                        <pic:spPr>
                          <a:xfrm>
                            <a:off x="0" y="0"/>
                            <a:ext cx="1237259" cy="1302871"/>
                          </a:xfrm>
                          <a:prstGeom prst="rect">
                            <a:avLst/>
                          </a:prstGeom>
                        </pic:spPr>
                      </pic:pic>
                    </a:graphicData>
                  </a:graphic>
                </wp:inline>
              </w:drawing>
            </w:r>
          </w:p>
        </w:tc>
        <w:tc>
          <w:tcPr>
            <w:tcW w:w="3610" w:type="dxa"/>
            <w:gridSpan w:val="2"/>
            <w:vMerge w:val="restart"/>
            <w:tcBorders>
              <w:left w:val="single" w:sz="4" w:space="0" w:color="000000" w:themeColor="text1"/>
              <w:bottom w:val="single" w:sz="4" w:space="0" w:color="000000" w:themeColor="text1"/>
              <w:right w:val="single" w:sz="4" w:space="0" w:color="000000" w:themeColor="text1"/>
            </w:tcBorders>
            <w:vAlign w:val="center"/>
          </w:tcPr>
          <w:p w14:paraId="21A959A1" w14:textId="66CC6B29" w:rsidR="00FB5103" w:rsidRPr="000F5A96" w:rsidRDefault="00443CCB" w:rsidP="009D071A">
            <w:pPr>
              <w:jc w:val="center"/>
              <w:rPr>
                <w:rFonts w:eastAsiaTheme="minorHAnsi"/>
                <w:b/>
                <w:sz w:val="56"/>
                <w:szCs w:val="56"/>
              </w:rPr>
            </w:pPr>
            <w:r>
              <w:rPr>
                <w:rFonts w:eastAsiaTheme="minorHAnsi" w:hint="eastAsia"/>
                <w:b/>
                <w:sz w:val="56"/>
                <w:szCs w:val="56"/>
              </w:rPr>
              <w:t>보 도 자 료</w:t>
            </w:r>
          </w:p>
        </w:tc>
        <w:tc>
          <w:tcPr>
            <w:tcW w:w="851" w:type="dxa"/>
            <w:tcBorders>
              <w:left w:val="single" w:sz="4" w:space="0" w:color="000000" w:themeColor="text1"/>
              <w:right w:val="single" w:sz="4" w:space="0" w:color="000000" w:themeColor="text1"/>
            </w:tcBorders>
            <w:vAlign w:val="center"/>
          </w:tcPr>
          <w:p w14:paraId="78E041E9" w14:textId="77777777" w:rsidR="00FB5103" w:rsidRPr="005F3B0D" w:rsidRDefault="00FB5103" w:rsidP="009D071A">
            <w:pPr>
              <w:rPr>
                <w:rFonts w:eastAsiaTheme="minorHAnsi"/>
                <w:szCs w:val="20"/>
              </w:rPr>
            </w:pPr>
            <w:r w:rsidRPr="005F3B0D">
              <w:rPr>
                <w:rFonts w:eastAsiaTheme="minorHAnsi" w:hint="eastAsia"/>
                <w:szCs w:val="20"/>
              </w:rPr>
              <w:t>담당자</w:t>
            </w:r>
          </w:p>
        </w:tc>
        <w:tc>
          <w:tcPr>
            <w:tcW w:w="2854" w:type="dxa"/>
            <w:tcBorders>
              <w:left w:val="single" w:sz="4" w:space="0" w:color="000000" w:themeColor="text1"/>
            </w:tcBorders>
            <w:vAlign w:val="center"/>
          </w:tcPr>
          <w:p w14:paraId="4E4D9256" w14:textId="252B0258" w:rsidR="00FB5103" w:rsidRPr="005F3B0D" w:rsidRDefault="00C272A2" w:rsidP="00C272A2">
            <w:pPr>
              <w:jc w:val="center"/>
              <w:rPr>
                <w:rFonts w:eastAsiaTheme="minorHAnsi"/>
                <w:szCs w:val="20"/>
              </w:rPr>
            </w:pPr>
            <w:r>
              <w:rPr>
                <w:rFonts w:eastAsiaTheme="minorHAnsi" w:hint="eastAsia"/>
                <w:szCs w:val="20"/>
              </w:rPr>
              <w:t>바른의료연구소 사무국</w:t>
            </w:r>
          </w:p>
        </w:tc>
      </w:tr>
      <w:tr w:rsidR="00FB5103" w:rsidRPr="005F3B0D" w14:paraId="55885EDB" w14:textId="77777777" w:rsidTr="009D071A">
        <w:trPr>
          <w:trHeight w:val="406"/>
          <w:jc w:val="center"/>
        </w:trPr>
        <w:tc>
          <w:tcPr>
            <w:tcW w:w="2140" w:type="dxa"/>
            <w:vMerge/>
            <w:tcBorders>
              <w:right w:val="single" w:sz="4" w:space="0" w:color="000000" w:themeColor="text1"/>
            </w:tcBorders>
          </w:tcPr>
          <w:p w14:paraId="746B33D0" w14:textId="77777777" w:rsidR="00FB5103" w:rsidRPr="005F3B0D" w:rsidRDefault="00FB5103" w:rsidP="009D071A">
            <w:pPr>
              <w:rPr>
                <w:rFonts w:eastAsiaTheme="minorHAnsi"/>
                <w:szCs w:val="20"/>
              </w:rPr>
            </w:pPr>
          </w:p>
        </w:tc>
        <w:tc>
          <w:tcPr>
            <w:tcW w:w="36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FB11E" w14:textId="77777777" w:rsidR="00FB5103" w:rsidRPr="005F3B0D" w:rsidRDefault="00FB5103" w:rsidP="009D071A">
            <w:pPr>
              <w:rPr>
                <w:rFonts w:eastAsiaTheme="minorHAnsi"/>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A9DCC" w14:textId="77777777" w:rsidR="00FB5103" w:rsidRPr="005F3B0D" w:rsidRDefault="00FB5103" w:rsidP="009D071A">
            <w:pPr>
              <w:rPr>
                <w:rFonts w:eastAsiaTheme="minorHAnsi"/>
                <w:szCs w:val="20"/>
              </w:rPr>
            </w:pPr>
            <w:r w:rsidRPr="005F3B0D">
              <w:rPr>
                <w:rFonts w:eastAsiaTheme="minorHAnsi" w:hint="eastAsia"/>
                <w:szCs w:val="20"/>
              </w:rPr>
              <w:t>이메일</w:t>
            </w:r>
          </w:p>
        </w:tc>
        <w:tc>
          <w:tcPr>
            <w:tcW w:w="2854" w:type="dxa"/>
            <w:tcBorders>
              <w:top w:val="single" w:sz="4" w:space="0" w:color="000000" w:themeColor="text1"/>
              <w:left w:val="single" w:sz="4" w:space="0" w:color="000000" w:themeColor="text1"/>
              <w:bottom w:val="single" w:sz="4" w:space="0" w:color="000000" w:themeColor="text1"/>
            </w:tcBorders>
            <w:vAlign w:val="center"/>
          </w:tcPr>
          <w:p w14:paraId="57F4630A" w14:textId="2AB7B990" w:rsidR="00FB5103" w:rsidRPr="004C78FC" w:rsidRDefault="00584AA4" w:rsidP="009D071A">
            <w:pPr>
              <w:jc w:val="center"/>
              <w:rPr>
                <w:rFonts w:ascii="맑은 고딕" w:eastAsia="맑은 고딕" w:cs="맑은 고딕"/>
                <w:kern w:val="0"/>
                <w:szCs w:val="20"/>
              </w:rPr>
            </w:pPr>
            <w:r w:rsidRPr="00584AA4">
              <w:rPr>
                <w:rFonts w:ascii="맑은 고딕" w:eastAsia="맑은 고딕" w:cs="맑은 고딕"/>
                <w:kern w:val="0"/>
                <w:szCs w:val="20"/>
              </w:rPr>
              <w:t>bareunmedi923@naver.com</w:t>
            </w:r>
          </w:p>
        </w:tc>
      </w:tr>
      <w:tr w:rsidR="00FB5103" w:rsidRPr="004770BD" w14:paraId="553EA1EB" w14:textId="77777777" w:rsidTr="009D071A">
        <w:trPr>
          <w:trHeight w:val="130"/>
          <w:jc w:val="center"/>
        </w:trPr>
        <w:tc>
          <w:tcPr>
            <w:tcW w:w="2140" w:type="dxa"/>
            <w:vMerge/>
            <w:tcBorders>
              <w:right w:val="single" w:sz="4" w:space="0" w:color="000000" w:themeColor="text1"/>
            </w:tcBorders>
          </w:tcPr>
          <w:p w14:paraId="6BABEACC"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B7BE3" w14:textId="77777777" w:rsidR="00FB5103" w:rsidRPr="005F3B0D" w:rsidRDefault="00FB5103" w:rsidP="009D071A">
            <w:pPr>
              <w:rPr>
                <w:rFonts w:eastAsiaTheme="minorHAnsi"/>
                <w:szCs w:val="20"/>
              </w:rPr>
            </w:pPr>
            <w:r w:rsidRPr="005F3B0D">
              <w:rPr>
                <w:rFonts w:eastAsiaTheme="minorHAnsi" w:hint="eastAsia"/>
                <w:szCs w:val="20"/>
              </w:rPr>
              <w:t>배포일자</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C7CF7" w14:textId="27AE080B" w:rsidR="00FB5103" w:rsidRPr="005F3B0D" w:rsidRDefault="00FB5103" w:rsidP="009D071A">
            <w:pPr>
              <w:rPr>
                <w:rFonts w:eastAsiaTheme="minorHAnsi"/>
                <w:szCs w:val="20"/>
              </w:rPr>
            </w:pPr>
            <w:r w:rsidRPr="005F3B0D">
              <w:rPr>
                <w:rFonts w:eastAsiaTheme="minorHAnsi" w:hint="eastAsia"/>
                <w:szCs w:val="20"/>
              </w:rPr>
              <w:t>20</w:t>
            </w:r>
            <w:r w:rsidR="00034388">
              <w:rPr>
                <w:rFonts w:eastAsiaTheme="minorHAnsi"/>
                <w:szCs w:val="20"/>
              </w:rPr>
              <w:t>2</w:t>
            </w:r>
            <w:r w:rsidR="00984277">
              <w:rPr>
                <w:rFonts w:eastAsiaTheme="minorHAnsi" w:hint="eastAsia"/>
                <w:szCs w:val="20"/>
              </w:rPr>
              <w:t>6</w:t>
            </w:r>
            <w:r w:rsidRPr="005F3B0D">
              <w:rPr>
                <w:rFonts w:eastAsiaTheme="minorHAnsi" w:hint="eastAsia"/>
                <w:szCs w:val="20"/>
              </w:rPr>
              <w:t>년</w:t>
            </w:r>
            <w:r>
              <w:rPr>
                <w:rFonts w:eastAsiaTheme="minorHAnsi" w:hint="eastAsia"/>
                <w:szCs w:val="20"/>
              </w:rPr>
              <w:t xml:space="preserve"> </w:t>
            </w:r>
            <w:r w:rsidR="00FD62E4">
              <w:rPr>
                <w:rFonts w:eastAsiaTheme="minorHAnsi"/>
                <w:szCs w:val="20"/>
              </w:rPr>
              <w:t>4</w:t>
            </w:r>
            <w:r w:rsidRPr="005F3B0D">
              <w:rPr>
                <w:rFonts w:eastAsiaTheme="minorHAnsi" w:hint="eastAsia"/>
                <w:szCs w:val="20"/>
              </w:rPr>
              <w:t xml:space="preserve">월 </w:t>
            </w:r>
            <w:r w:rsidR="00217486">
              <w:rPr>
                <w:rFonts w:eastAsiaTheme="minorHAnsi"/>
                <w:szCs w:val="20"/>
              </w:rPr>
              <w:t>2</w:t>
            </w:r>
            <w:r w:rsidR="000B0B5B">
              <w:rPr>
                <w:rFonts w:eastAsiaTheme="minorHAnsi"/>
                <w:szCs w:val="20"/>
              </w:rPr>
              <w:t>7</w:t>
            </w:r>
            <w:r w:rsidRPr="005F3B0D">
              <w:rPr>
                <w:rFonts w:eastAsiaTheme="minorHAnsi" w:hint="eastAsia"/>
                <w:szCs w:val="20"/>
              </w:rPr>
              <w:t>일(</w:t>
            </w:r>
            <w:r w:rsidR="00217486">
              <w:rPr>
                <w:rFonts w:eastAsiaTheme="minorHAnsi" w:hint="eastAsia"/>
                <w:szCs w:val="20"/>
              </w:rPr>
              <w:t>월</w:t>
            </w:r>
            <w:r w:rsidRPr="005F3B0D">
              <w:rPr>
                <w:rFonts w:eastAsiaTheme="minorHAnsi" w:hint="eastAsia"/>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31733" w14:textId="77777777" w:rsidR="00FB5103" w:rsidRPr="005F3B0D" w:rsidRDefault="00FB5103" w:rsidP="009D071A">
            <w:pPr>
              <w:rPr>
                <w:rFonts w:eastAsiaTheme="minorHAnsi"/>
                <w:szCs w:val="20"/>
              </w:rPr>
            </w:pPr>
            <w:r w:rsidRPr="005F3B0D">
              <w:rPr>
                <w:rFonts w:eastAsiaTheme="minorHAnsi" w:hint="eastAsia"/>
                <w:szCs w:val="20"/>
              </w:rPr>
              <w:t>전화</w:t>
            </w:r>
          </w:p>
        </w:tc>
        <w:tc>
          <w:tcPr>
            <w:tcW w:w="2854" w:type="dxa"/>
            <w:tcBorders>
              <w:top w:val="single" w:sz="4" w:space="0" w:color="000000" w:themeColor="text1"/>
              <w:left w:val="single" w:sz="4" w:space="0" w:color="000000" w:themeColor="text1"/>
              <w:bottom w:val="single" w:sz="4" w:space="0" w:color="000000" w:themeColor="text1"/>
            </w:tcBorders>
          </w:tcPr>
          <w:p w14:paraId="4DDDE8F3" w14:textId="77777777" w:rsidR="00FB5103" w:rsidRPr="005F3B0D" w:rsidRDefault="00FB5103" w:rsidP="009D071A">
            <w:pPr>
              <w:jc w:val="center"/>
              <w:rPr>
                <w:rFonts w:eastAsiaTheme="minorHAnsi"/>
                <w:szCs w:val="20"/>
              </w:rPr>
            </w:pPr>
            <w:r w:rsidRPr="006B20BB">
              <w:rPr>
                <w:rFonts w:eastAsiaTheme="minorHAnsi"/>
                <w:szCs w:val="20"/>
              </w:rPr>
              <w:t>070-7860-0111</w:t>
            </w:r>
          </w:p>
        </w:tc>
      </w:tr>
      <w:tr w:rsidR="00FB5103" w:rsidRPr="005F3B0D" w14:paraId="5B3A0504" w14:textId="77777777" w:rsidTr="009D071A">
        <w:trPr>
          <w:trHeight w:val="130"/>
          <w:jc w:val="center"/>
        </w:trPr>
        <w:tc>
          <w:tcPr>
            <w:tcW w:w="2140" w:type="dxa"/>
            <w:vMerge/>
            <w:tcBorders>
              <w:right w:val="single" w:sz="4" w:space="0" w:color="000000" w:themeColor="text1"/>
            </w:tcBorders>
          </w:tcPr>
          <w:p w14:paraId="5ED6A6EF"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F149C" w14:textId="77777777" w:rsidR="00FB5103" w:rsidRPr="005F3B0D" w:rsidRDefault="00FB5103" w:rsidP="009D071A">
            <w:pPr>
              <w:rPr>
                <w:rFonts w:eastAsiaTheme="minorHAnsi"/>
                <w:szCs w:val="20"/>
              </w:rPr>
            </w:pPr>
            <w:r w:rsidRPr="005F3B0D">
              <w:rPr>
                <w:rFonts w:eastAsiaTheme="minorHAnsi" w:hint="eastAsia"/>
                <w:szCs w:val="20"/>
              </w:rPr>
              <w:t>보도일시</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9332" w14:textId="77777777" w:rsidR="00FB5103" w:rsidRPr="005F3B0D" w:rsidRDefault="00FB5103" w:rsidP="009D071A">
            <w:pPr>
              <w:rPr>
                <w:rFonts w:eastAsiaTheme="minorHAnsi"/>
                <w:b/>
                <w:color w:val="FF0000"/>
                <w:szCs w:val="20"/>
              </w:rPr>
            </w:pPr>
            <w:r>
              <w:rPr>
                <w:rFonts w:eastAsiaTheme="minorHAnsi" w:hint="eastAsia"/>
                <w:b/>
                <w:color w:val="FF0000"/>
                <w:szCs w:val="20"/>
              </w:rPr>
              <w:t>즉시발송</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995A4" w14:textId="77777777" w:rsidR="00FB5103" w:rsidRPr="005F3B0D" w:rsidRDefault="00FB5103" w:rsidP="009D071A">
            <w:pPr>
              <w:rPr>
                <w:rFonts w:eastAsiaTheme="minorHAnsi"/>
                <w:szCs w:val="20"/>
              </w:rPr>
            </w:pPr>
            <w:r w:rsidRPr="005F3B0D">
              <w:rPr>
                <w:rFonts w:eastAsiaTheme="minorHAnsi" w:hint="eastAsia"/>
                <w:szCs w:val="20"/>
              </w:rPr>
              <w:t>팩스</w:t>
            </w:r>
          </w:p>
        </w:tc>
        <w:tc>
          <w:tcPr>
            <w:tcW w:w="2854" w:type="dxa"/>
            <w:tcBorders>
              <w:top w:val="single" w:sz="4" w:space="0" w:color="000000" w:themeColor="text1"/>
              <w:left w:val="single" w:sz="4" w:space="0" w:color="000000" w:themeColor="text1"/>
              <w:bottom w:val="single" w:sz="4" w:space="0" w:color="000000" w:themeColor="text1"/>
            </w:tcBorders>
          </w:tcPr>
          <w:p w14:paraId="5DCEA26D" w14:textId="77777777" w:rsidR="00FB5103" w:rsidRPr="005F3B0D" w:rsidRDefault="00FB5103" w:rsidP="009D071A">
            <w:pPr>
              <w:rPr>
                <w:rFonts w:eastAsiaTheme="minorHAnsi"/>
                <w:szCs w:val="20"/>
              </w:rPr>
            </w:pPr>
          </w:p>
        </w:tc>
      </w:tr>
      <w:tr w:rsidR="00FB5103" w:rsidRPr="0061028B" w14:paraId="3A686ED3" w14:textId="77777777" w:rsidTr="009D071A">
        <w:trPr>
          <w:trHeight w:val="229"/>
          <w:jc w:val="center"/>
        </w:trPr>
        <w:tc>
          <w:tcPr>
            <w:tcW w:w="2140" w:type="dxa"/>
            <w:vMerge/>
            <w:tcBorders>
              <w:right w:val="single" w:sz="4" w:space="0" w:color="000000" w:themeColor="text1"/>
            </w:tcBorders>
          </w:tcPr>
          <w:p w14:paraId="5BDF46FD" w14:textId="77777777" w:rsidR="00FB5103" w:rsidRPr="005F3B0D" w:rsidRDefault="00FB5103" w:rsidP="009D071A">
            <w:pPr>
              <w:rPr>
                <w:rFonts w:eastAsiaTheme="minorHAnsi"/>
                <w:szCs w:val="20"/>
              </w:rPr>
            </w:pPr>
          </w:p>
        </w:tc>
        <w:tc>
          <w:tcPr>
            <w:tcW w:w="7315" w:type="dxa"/>
            <w:gridSpan w:val="4"/>
            <w:tcBorders>
              <w:top w:val="single" w:sz="4" w:space="0" w:color="000000" w:themeColor="text1"/>
              <w:left w:val="single" w:sz="4" w:space="0" w:color="000000" w:themeColor="text1"/>
              <w:bottom w:val="single" w:sz="4" w:space="0" w:color="auto"/>
            </w:tcBorders>
          </w:tcPr>
          <w:p w14:paraId="1FB33E44" w14:textId="77777777" w:rsidR="00FB5103" w:rsidRPr="005F3B0D" w:rsidRDefault="00FB5103" w:rsidP="009D071A">
            <w:pPr>
              <w:rPr>
                <w:rFonts w:eastAsiaTheme="minorHAnsi"/>
                <w:b/>
                <w:color w:val="365F91" w:themeColor="accent1" w:themeShade="BF"/>
                <w:szCs w:val="20"/>
              </w:rPr>
            </w:pPr>
            <w:r w:rsidRPr="005F3B0D">
              <w:rPr>
                <w:rFonts w:eastAsiaTheme="minorHAnsi" w:hint="eastAsia"/>
                <w:b/>
                <w:color w:val="000000" w:themeColor="text1"/>
                <w:szCs w:val="20"/>
              </w:rPr>
              <w:t>*</w:t>
            </w:r>
            <w:r w:rsidRPr="005F3B0D">
              <w:rPr>
                <w:rFonts w:eastAsiaTheme="minorHAnsi" w:cs="바탕" w:hint="eastAsia"/>
                <w:b/>
                <w:color w:val="000000" w:themeColor="text1"/>
                <w:szCs w:val="20"/>
              </w:rPr>
              <w:t>보도요청 시간을 지켜주실 것을 간곡히 부탁드립니다.</w:t>
            </w:r>
          </w:p>
        </w:tc>
      </w:tr>
      <w:tr w:rsidR="00FB5103" w:rsidRPr="005F3B0D" w14:paraId="0590AB13" w14:textId="77777777" w:rsidTr="009D071A">
        <w:trPr>
          <w:trHeight w:val="265"/>
          <w:jc w:val="center"/>
        </w:trPr>
        <w:tc>
          <w:tcPr>
            <w:tcW w:w="2140" w:type="dxa"/>
            <w:vMerge/>
            <w:tcBorders>
              <w:right w:val="single" w:sz="4" w:space="0" w:color="000000" w:themeColor="text1"/>
            </w:tcBorders>
          </w:tcPr>
          <w:p w14:paraId="5370705D" w14:textId="77777777" w:rsidR="00FB5103" w:rsidRPr="005F3B0D" w:rsidRDefault="00FB5103" w:rsidP="009D071A">
            <w:pPr>
              <w:rPr>
                <w:rFonts w:eastAsiaTheme="minorHAnsi"/>
                <w:szCs w:val="20"/>
              </w:rPr>
            </w:pPr>
          </w:p>
        </w:tc>
        <w:tc>
          <w:tcPr>
            <w:tcW w:w="7315" w:type="dxa"/>
            <w:gridSpan w:val="4"/>
            <w:tcBorders>
              <w:top w:val="single" w:sz="4" w:space="0" w:color="auto"/>
              <w:left w:val="single" w:sz="4" w:space="0" w:color="000000" w:themeColor="text1"/>
            </w:tcBorders>
          </w:tcPr>
          <w:p w14:paraId="1B938637" w14:textId="77777777" w:rsidR="00FB5103" w:rsidRPr="005F3B0D" w:rsidRDefault="00FB5103" w:rsidP="009D071A">
            <w:pPr>
              <w:rPr>
                <w:rFonts w:eastAsiaTheme="minorHAnsi"/>
                <w:color w:val="365F91" w:themeColor="accent1" w:themeShade="BF"/>
                <w:szCs w:val="20"/>
              </w:rPr>
            </w:pPr>
            <w:r w:rsidRPr="00D3405B">
              <w:rPr>
                <w:rFonts w:eastAsiaTheme="minorHAnsi" w:cs="바탕" w:hint="eastAsia"/>
                <w:b/>
                <w:color w:val="000000" w:themeColor="text1"/>
                <w:szCs w:val="20"/>
              </w:rPr>
              <w:t>바른의료연구소</w:t>
            </w:r>
          </w:p>
        </w:tc>
      </w:tr>
    </w:tbl>
    <w:bookmarkEnd w:id="0"/>
    <w:p w14:paraId="19FFA922" w14:textId="77777777" w:rsidR="00FB5103" w:rsidRDefault="00FB5103">
      <w:pPr>
        <w:rPr>
          <w:b/>
          <w:sz w:val="24"/>
        </w:rPr>
      </w:pPr>
      <w:r w:rsidRPr="0019206E">
        <w:rPr>
          <w:rFonts w:hint="eastAsia"/>
          <w:b/>
          <w:sz w:val="24"/>
        </w:rPr>
        <w:t xml:space="preserve"> </w:t>
      </w:r>
    </w:p>
    <w:p w14:paraId="00083DCB" w14:textId="77777777" w:rsidR="00FB5103" w:rsidRDefault="00FB5103">
      <w:pPr>
        <w:rPr>
          <w:sz w:val="22"/>
        </w:rPr>
      </w:pPr>
    </w:p>
    <w:p w14:paraId="378B1A60" w14:textId="09EB9F06" w:rsidR="00CC50F3" w:rsidRDefault="00CC50F3" w:rsidP="00EF1C74">
      <w:pPr>
        <w:widowControl/>
        <w:wordWrap/>
        <w:autoSpaceDE/>
        <w:autoSpaceDN/>
        <w:jc w:val="center"/>
        <w:outlineLvl w:val="0"/>
        <w:rPr>
          <w:rFonts w:asciiTheme="minorEastAsia" w:hAnsiTheme="minorEastAsia" w:cs="굴림"/>
          <w:b/>
          <w:bCs/>
          <w:kern w:val="0"/>
          <w:sz w:val="28"/>
          <w:szCs w:val="28"/>
        </w:rPr>
      </w:pPr>
      <w:r>
        <w:rPr>
          <w:rFonts w:asciiTheme="minorEastAsia" w:hAnsiTheme="minorEastAsia" w:cs="굴림" w:hint="eastAsia"/>
          <w:b/>
          <w:bCs/>
          <w:kern w:val="0"/>
          <w:sz w:val="28"/>
          <w:szCs w:val="28"/>
        </w:rPr>
        <w:t>[바른</w:t>
      </w:r>
      <w:r w:rsidRPr="00E45256">
        <w:rPr>
          <w:rFonts w:asciiTheme="minorEastAsia" w:hAnsiTheme="minorEastAsia" w:cs="굴림" w:hint="eastAsia"/>
          <w:b/>
          <w:bCs/>
          <w:kern w:val="0"/>
          <w:sz w:val="28"/>
          <w:szCs w:val="28"/>
        </w:rPr>
        <w:t xml:space="preserve">의료연구소 </w:t>
      </w:r>
      <w:r>
        <w:rPr>
          <w:rFonts w:asciiTheme="minorEastAsia" w:hAnsiTheme="minorEastAsia" w:cs="굴림" w:hint="eastAsia"/>
          <w:b/>
          <w:bCs/>
          <w:kern w:val="0"/>
          <w:sz w:val="28"/>
          <w:szCs w:val="28"/>
        </w:rPr>
        <w:t>입장문</w:t>
      </w:r>
      <w:r>
        <w:rPr>
          <w:rFonts w:asciiTheme="minorEastAsia" w:hAnsiTheme="minorEastAsia" w:cs="굴림"/>
          <w:b/>
          <w:bCs/>
          <w:kern w:val="0"/>
          <w:sz w:val="28"/>
          <w:szCs w:val="28"/>
        </w:rPr>
        <w:t>]</w:t>
      </w:r>
    </w:p>
    <w:p w14:paraId="6447C9E3" w14:textId="77777777" w:rsidR="000B0B5B" w:rsidRPr="000B0B5B" w:rsidRDefault="000B0B5B" w:rsidP="000B0B5B">
      <w:pPr>
        <w:widowControl/>
        <w:wordWrap/>
        <w:autoSpaceDE/>
        <w:autoSpaceDN/>
        <w:jc w:val="center"/>
        <w:outlineLvl w:val="0"/>
        <w:rPr>
          <w:rFonts w:asciiTheme="minorEastAsia" w:hAnsiTheme="minorEastAsia" w:cs="굴림"/>
          <w:b/>
          <w:bCs/>
          <w:kern w:val="0"/>
          <w:sz w:val="28"/>
          <w:szCs w:val="28"/>
        </w:rPr>
      </w:pPr>
      <w:r w:rsidRPr="000B0B5B">
        <w:rPr>
          <w:rFonts w:asciiTheme="minorEastAsia" w:hAnsiTheme="minorEastAsia" w:cs="굴림" w:hint="eastAsia"/>
          <w:b/>
          <w:bCs/>
          <w:kern w:val="0"/>
          <w:sz w:val="28"/>
          <w:szCs w:val="28"/>
        </w:rPr>
        <w:t>의료분쟁조정법</w:t>
      </w:r>
      <w:r w:rsidRPr="000B0B5B">
        <w:rPr>
          <w:rFonts w:asciiTheme="minorEastAsia" w:hAnsiTheme="minorEastAsia" w:cs="굴림"/>
          <w:b/>
          <w:bCs/>
          <w:kern w:val="0"/>
          <w:sz w:val="28"/>
          <w:szCs w:val="28"/>
        </w:rPr>
        <w:t xml:space="preserve"> 개정안 시행령 제정</w:t>
      </w:r>
      <w:r w:rsidRPr="000B0B5B">
        <w:rPr>
          <w:rFonts w:asciiTheme="minorEastAsia" w:hAnsiTheme="minorEastAsia" w:cs="굴림" w:hint="eastAsia"/>
          <w:b/>
          <w:bCs/>
          <w:kern w:val="0"/>
          <w:sz w:val="28"/>
          <w:szCs w:val="28"/>
        </w:rPr>
        <w:t>의</w:t>
      </w:r>
      <w:r w:rsidRPr="000B0B5B">
        <w:rPr>
          <w:rFonts w:asciiTheme="minorEastAsia" w:hAnsiTheme="minorEastAsia" w:cs="굴림"/>
          <w:b/>
          <w:bCs/>
          <w:kern w:val="0"/>
          <w:sz w:val="28"/>
          <w:szCs w:val="28"/>
        </w:rPr>
        <w:t xml:space="preserve"> 올바른 방향</w:t>
      </w:r>
    </w:p>
    <w:p w14:paraId="2FA9DED5" w14:textId="77777777" w:rsidR="00CC50F3" w:rsidRPr="000B0B5B" w:rsidRDefault="00CC50F3" w:rsidP="00CC50F3">
      <w:pPr>
        <w:widowControl/>
        <w:wordWrap/>
        <w:autoSpaceDE/>
        <w:autoSpaceDN/>
        <w:outlineLvl w:val="0"/>
        <w:rPr>
          <w:rFonts w:asciiTheme="minorEastAsia" w:hAnsiTheme="minorEastAsia" w:cs="굴림"/>
          <w:b/>
          <w:bCs/>
          <w:kern w:val="0"/>
          <w:szCs w:val="20"/>
        </w:rPr>
      </w:pPr>
    </w:p>
    <w:p w14:paraId="4BDBB951" w14:textId="77777777" w:rsidR="00B463F5" w:rsidRDefault="00B463F5" w:rsidP="00B463F5">
      <w:r>
        <w:rPr>
          <w:rFonts w:hint="eastAsia"/>
        </w:rPr>
        <w:t>1. 서론</w:t>
      </w:r>
    </w:p>
    <w:p w14:paraId="47613244" w14:textId="77777777" w:rsidR="00B463F5" w:rsidRDefault="00B463F5" w:rsidP="00B463F5"/>
    <w:p w14:paraId="76D22C5F" w14:textId="77777777" w:rsidR="00B463F5" w:rsidRDefault="00B463F5" w:rsidP="00B463F5">
      <w:r>
        <w:t xml:space="preserve">2026년 4월 23일 </w:t>
      </w:r>
      <w:r>
        <w:rPr>
          <w:rFonts w:hint="eastAsia"/>
        </w:rPr>
        <w:t xml:space="preserve">일명 분쟁조정법 개정안이라고 불리는 </w:t>
      </w:r>
      <w:r>
        <w:t>「</w:t>
      </w:r>
      <w:r w:rsidRPr="00E25BBF">
        <w:t>의료사고 피해구제 및 의료분쟁 조정 등에 관한 법률 일부개정법률안</w:t>
      </w:r>
      <w:r>
        <w:t>」</w:t>
      </w:r>
      <w:r>
        <w:rPr>
          <w:rFonts w:hint="eastAsia"/>
        </w:rPr>
        <w:t>이 국회</w:t>
      </w:r>
      <w:r>
        <w:t xml:space="preserve"> 본회의를 </w:t>
      </w:r>
      <w:r>
        <w:rPr>
          <w:rFonts w:hint="eastAsia"/>
        </w:rPr>
        <w:t>통과했</w:t>
      </w:r>
      <w:r>
        <w:t xml:space="preserve">다. 본회의를 통과한 </w:t>
      </w:r>
      <w:r>
        <w:rPr>
          <w:rFonts w:hint="eastAsia"/>
        </w:rPr>
        <w:t>법</w:t>
      </w:r>
      <w:r>
        <w:t>안의 부칙</w:t>
      </w:r>
      <w:r>
        <w:rPr>
          <w:rFonts w:hint="eastAsia"/>
        </w:rPr>
        <w:t>을 보면, 법 시행 시</w:t>
      </w:r>
      <w:r>
        <w:t xml:space="preserve">점을 “공포 후 1년이 경과한 날”로 두고 있고, 시행 전 준비행위로 책임보험 관리와 의료사고심의위원회 설치 준비를 </w:t>
      </w:r>
      <w:r>
        <w:rPr>
          <w:rFonts w:hint="eastAsia"/>
        </w:rPr>
        <w:t>하도록 되어 있</w:t>
      </w:r>
      <w:r>
        <w:t xml:space="preserve">다. 따라서 </w:t>
      </w:r>
      <w:r>
        <w:rPr>
          <w:rFonts w:hint="eastAsia"/>
        </w:rPr>
        <w:t xml:space="preserve">법이 통과된 </w:t>
      </w:r>
      <w:r>
        <w:t xml:space="preserve">지금부터 </w:t>
      </w:r>
      <w:r>
        <w:rPr>
          <w:rFonts w:hint="eastAsia"/>
        </w:rPr>
        <w:t>현실적으로 중요한 문제는</w:t>
      </w:r>
      <w:r>
        <w:t xml:space="preserve"> 법률 폐기 여부가 아니라, 시행령·시행규칙 단계에서 어떤 </w:t>
      </w:r>
      <w:r>
        <w:rPr>
          <w:rFonts w:hint="eastAsia"/>
        </w:rPr>
        <w:t>내용을 심어 놓을 것인가이다.</w:t>
      </w:r>
      <w:r>
        <w:t xml:space="preserve"> </w:t>
      </w:r>
    </w:p>
    <w:p w14:paraId="77FD3843" w14:textId="77777777" w:rsidR="00B463F5" w:rsidRDefault="00B463F5" w:rsidP="00B463F5"/>
    <w:p w14:paraId="48645701" w14:textId="77777777" w:rsidR="00B463F5" w:rsidRDefault="00B463F5" w:rsidP="00B463F5">
      <w:r>
        <w:rPr>
          <w:rFonts w:hint="eastAsia"/>
        </w:rPr>
        <w:t>통과된 법안의 내용에서 중요한 문제들을 살펴보면, 법안에서 규정한</w:t>
      </w:r>
      <w:r>
        <w:t xml:space="preserve"> </w:t>
      </w:r>
      <w:r>
        <w:rPr>
          <w:rFonts w:hint="eastAsia"/>
        </w:rPr>
        <w:t>의료사고</w:t>
      </w:r>
      <w:r>
        <w:t xml:space="preserve">심의위원회는 20인 구성이고, 그중 </w:t>
      </w:r>
      <w:r>
        <w:rPr>
          <w:rFonts w:hint="eastAsia"/>
        </w:rPr>
        <w:t>임상을 담당하는 사람의</w:t>
      </w:r>
      <w:r>
        <w:t xml:space="preserve"> 몫은 “의사전문의·치과의사·한의사”를 합친 5석이다. 즉, 법문상 ‘의사’ 숫자가 자동으로 보장되는 구조가 아니고, 더 중요한 것은 사안별로 동일 진료과 전문의가 반드시 참여한다는 보장도 전혀 없다는 점이다.</w:t>
      </w:r>
    </w:p>
    <w:p w14:paraId="4C6A9429" w14:textId="77777777" w:rsidR="00B463F5" w:rsidRDefault="00B463F5" w:rsidP="00B463F5"/>
    <w:p w14:paraId="2FC2B7B8" w14:textId="77777777" w:rsidR="00B463F5" w:rsidRDefault="00B463F5" w:rsidP="00B463F5">
      <w:r>
        <w:rPr>
          <w:rFonts w:hint="eastAsia"/>
        </w:rPr>
        <w:t>또</w:t>
      </w:r>
      <w:r>
        <w:t xml:space="preserve"> 하나 중요한 </w:t>
      </w:r>
      <w:r>
        <w:rPr>
          <w:rFonts w:hint="eastAsia"/>
        </w:rPr>
        <w:t>문</w:t>
      </w:r>
      <w:r>
        <w:t>제는 현행법상 “의료사고”의 정의 자체가 과실을 전제로 하지 않는다는 점이다. 현행</w:t>
      </w:r>
      <w:r>
        <w:rPr>
          <w:rFonts w:hint="eastAsia"/>
        </w:rPr>
        <w:t>법에서는</w:t>
      </w:r>
      <w:r>
        <w:t xml:space="preserve"> 의료사고를 보건의료인이 환자에 대해 실시한 진단·검사·치료·처방·조제로 인해 생명·신체·재산상 피해가 발생한 경우로 정의한다. </w:t>
      </w:r>
      <w:r>
        <w:rPr>
          <w:rFonts w:hint="eastAsia"/>
        </w:rPr>
        <w:t>그런데 이번에 통과된 법안에서는</w:t>
      </w:r>
      <w:r>
        <w:t xml:space="preserve"> 고위험 필수의료행위 관련 사건을 자동개시·조력·설명의무·형사특례·보험지원과 연결했다. </w:t>
      </w:r>
      <w:r>
        <w:rPr>
          <w:rFonts w:hint="eastAsia"/>
        </w:rPr>
        <w:t xml:space="preserve">이는 결국 과실 여부와 관계없이 환자에게 중대한 문제가 발생하면, 자동으로 조정이 발생한다는 뜻이고, 이렇게 되면 </w:t>
      </w:r>
      <w:r>
        <w:t xml:space="preserve">무과실 사건의 대량 유입은 </w:t>
      </w:r>
      <w:r>
        <w:rPr>
          <w:rFonts w:hint="eastAsia"/>
        </w:rPr>
        <w:t>불가피해진</w:t>
      </w:r>
      <w:r>
        <w:t xml:space="preserve">다. </w:t>
      </w:r>
    </w:p>
    <w:p w14:paraId="5C0EEAFA" w14:textId="77777777" w:rsidR="00B463F5" w:rsidRDefault="00B463F5" w:rsidP="00B463F5"/>
    <w:p w14:paraId="4359708E" w14:textId="77777777" w:rsidR="00B463F5" w:rsidRDefault="00B463F5" w:rsidP="00B463F5">
      <w:r>
        <w:rPr>
          <w:rFonts w:hint="eastAsia"/>
        </w:rPr>
        <w:t>이러한</w:t>
      </w:r>
      <w:r>
        <w:t xml:space="preserve"> 위험은 이미 통계와 제도 운영에서도 예고되고 있다. 한국의료분쟁조정중재원에 따르면 2025년 의료분쟁 접수는 2,605건으로 전년 대비 24.7% 급증했고, 같은 해 운영된 ‘당사자 조력제도’는 대상자의 98.2%가 신청했다. 다시 말해, 제도적 유인만 생기면 신청 수요는 실제로 급증할 가능성이 높고, 조력제도는 이미 높은 활용도를 보이고 있다. </w:t>
      </w:r>
      <w:r>
        <w:rPr>
          <w:rFonts w:hint="eastAsia"/>
        </w:rPr>
        <w:t xml:space="preserve">이에 불필요한 소송 및 분쟁을 줄이기 위해서 만들어진 이 법의 취지를 생각했을 때, </w:t>
      </w:r>
      <w:r>
        <w:t>시행령</w:t>
      </w:r>
      <w:r>
        <w:rPr>
          <w:rFonts w:hint="eastAsia"/>
        </w:rPr>
        <w:t>에서는</w:t>
      </w:r>
      <w:r>
        <w:t xml:space="preserve"> </w:t>
      </w:r>
      <w:r>
        <w:rPr>
          <w:rFonts w:hint="eastAsia"/>
        </w:rPr>
        <w:t xml:space="preserve">오히려 분쟁이 중가 할 것으로 </w:t>
      </w:r>
      <w:r>
        <w:rPr>
          <w:rFonts w:hint="eastAsia"/>
        </w:rPr>
        <w:lastRenderedPageBreak/>
        <w:t>예측하여</w:t>
      </w:r>
      <w:r>
        <w:t xml:space="preserve"> 방어적 설계를 해야 한다.</w:t>
      </w:r>
    </w:p>
    <w:p w14:paraId="593FDB77" w14:textId="77777777" w:rsidR="00B463F5" w:rsidRDefault="00B463F5" w:rsidP="00B463F5"/>
    <w:p w14:paraId="01D342F2" w14:textId="77777777" w:rsidR="00B463F5" w:rsidRDefault="00B463F5" w:rsidP="00B463F5">
      <w:r>
        <w:rPr>
          <w:rFonts w:hint="eastAsia"/>
        </w:rPr>
        <w:t xml:space="preserve">이 외에도 분쟁조정법 개정안에는 중요한 내용들이 시행령이나 시행규칙에 구체적인 권한을 위임해놓고 있다. 이에 바른의료연구소(이하 본 연구소)에서는 비록 의료분쟁조정법 개정안의 실효성이 현저히 낮고 구조적 한계가 명확하지만, 그나마 의료현장의 사법 리스크를 낮추는데 조금이라도 역할을 하기 위해서는 시행령 제정이 올바른 방향으로 이루어져야 한다고 판단한다. 이에 </w:t>
      </w:r>
      <w:r w:rsidRPr="007A3135">
        <w:t>의료분쟁조정법 개정안</w:t>
      </w:r>
      <w:r>
        <w:rPr>
          <w:rFonts w:hint="eastAsia"/>
        </w:rPr>
        <w:t>의 문제점과</w:t>
      </w:r>
      <w:r w:rsidRPr="007A3135">
        <w:t xml:space="preserve"> 시행령 제정의 올바른 방향</w:t>
      </w:r>
      <w:r>
        <w:rPr>
          <w:rFonts w:hint="eastAsia"/>
        </w:rPr>
        <w:t>을 제시하고자 한다.</w:t>
      </w:r>
    </w:p>
    <w:p w14:paraId="20BBE1CF" w14:textId="77777777" w:rsidR="00B463F5" w:rsidRDefault="00B463F5" w:rsidP="00B463F5"/>
    <w:p w14:paraId="62D275E6" w14:textId="77777777" w:rsidR="00B463F5" w:rsidRDefault="00B463F5" w:rsidP="00B463F5"/>
    <w:p w14:paraId="3F01F623" w14:textId="77777777" w:rsidR="00B463F5" w:rsidRDefault="00B463F5" w:rsidP="00B463F5">
      <w:r>
        <w:rPr>
          <w:rFonts w:hint="eastAsia"/>
        </w:rPr>
        <w:t>2. 의료분쟁조정법 개정</w:t>
      </w:r>
      <w:r>
        <w:t>안의 구조와 시행령 위임 범위</w:t>
      </w:r>
    </w:p>
    <w:p w14:paraId="494C60AD" w14:textId="77777777" w:rsidR="00B463F5" w:rsidRDefault="00B463F5" w:rsidP="00B463F5"/>
    <w:p w14:paraId="12259D06" w14:textId="77777777" w:rsidR="00B463F5" w:rsidRDefault="00B463F5" w:rsidP="00B463F5">
      <w:r>
        <w:rPr>
          <w:rFonts w:hint="eastAsia"/>
        </w:rPr>
        <w:t>분쟁조정법 개정</w:t>
      </w:r>
      <w:r>
        <w:t>안</w:t>
      </w:r>
      <w:r>
        <w:rPr>
          <w:rFonts w:hint="eastAsia"/>
        </w:rPr>
        <w:t xml:space="preserve"> 시행령 제정 시 고려해야 할</w:t>
      </w:r>
      <w:r>
        <w:t xml:space="preserve"> 핵심</w:t>
      </w:r>
      <w:r>
        <w:rPr>
          <w:rFonts w:hint="eastAsia"/>
        </w:rPr>
        <w:t xml:space="preserve"> 내용</w:t>
      </w:r>
      <w:r>
        <w:t xml:space="preserve">은 다섯 </w:t>
      </w:r>
      <w:r>
        <w:rPr>
          <w:rFonts w:hint="eastAsia"/>
        </w:rPr>
        <w:t>가지 정도로 정리할 수 있</w:t>
      </w:r>
      <w:r>
        <w:t xml:space="preserve">다. 첫째, “고위험 필수의료행위”를 새로 정의하면서 그 구체 범위를 대통령령에 위임했다. 둘째, “중대한 과실”을 12개 유형으로 열거했다. 셋째, 고위험 필수의료행위 관련 의료사고에 대해 조정 자동개시, 설명의무, 당사자 조력, 다수 감정, 형의 감면과 공소제한 특례를 엮었다. 넷째, 보건의료기관개설자의 책임보험 또는 책임공제 가입을 원칙화하고 보험료 국가 지원의 근거를 뒀다. 다섯째, 의료사고심의위원회를 신설해 고위험 필수의료행위 해당 여부와 중대한 과실 해당 여부를 심의하도록 했다. </w:t>
      </w:r>
    </w:p>
    <w:p w14:paraId="4805B04B" w14:textId="77777777" w:rsidR="00B463F5" w:rsidRDefault="00B463F5" w:rsidP="00B463F5"/>
    <w:p w14:paraId="1D49012B" w14:textId="77777777" w:rsidR="00B463F5" w:rsidRDefault="00B463F5" w:rsidP="00B463F5">
      <w:r>
        <w:rPr>
          <w:rFonts w:hint="eastAsia"/>
        </w:rPr>
        <w:t>여기서</w:t>
      </w:r>
      <w:r>
        <w:t xml:space="preserve"> 특히 눈여겨봐야 할 것은 이중 위임 구조다. 2026년 3월 10일 제정된 「필수의료 강화 지원 및 지역 간 의료격차 해소를 위한 특별법」은 “필수의료” 자체를 보건복지부장관이 정하는 것으로 두고 있다. 그</w:t>
      </w:r>
      <w:r>
        <w:rPr>
          <w:rFonts w:hint="eastAsia"/>
        </w:rPr>
        <w:t>런데</w:t>
      </w:r>
      <w:r>
        <w:t xml:space="preserve"> </w:t>
      </w:r>
      <w:r>
        <w:rPr>
          <w:rFonts w:hint="eastAsia"/>
        </w:rPr>
        <w:t>분쟁조정법 개정</w:t>
      </w:r>
      <w:r>
        <w:t xml:space="preserve">안은 그 필수의료 중 다시 “지체 없는 개입이 필요하거나 난이도가 높은 의료행위”를 대통령령으로 정하도록 했다. 즉, 형사특례와 자동개시, 보험지원의 전제가 되는 핵심 개념이 법률 본문이 아니라 장관 지정과 대통령령에 중첩 </w:t>
      </w:r>
      <w:r>
        <w:rPr>
          <w:rFonts w:hint="eastAsia"/>
        </w:rPr>
        <w:t>위임된</w:t>
      </w:r>
      <w:r>
        <w:t xml:space="preserve"> 것이다. 이 부분은 시행령 </w:t>
      </w:r>
      <w:r>
        <w:rPr>
          <w:rFonts w:hint="eastAsia"/>
        </w:rPr>
        <w:t>제정 과정</w:t>
      </w:r>
      <w:r>
        <w:t>에서 가장 중요</w:t>
      </w:r>
      <w:r>
        <w:rPr>
          <w:rFonts w:hint="eastAsia"/>
        </w:rPr>
        <w:t>하게 다루어져야 하며, 두 법에서 규정하는 필수의료의 범위가 법 시행 과정에서 충돌되어서는 안 된다.</w:t>
      </w:r>
    </w:p>
    <w:p w14:paraId="14BE92E2" w14:textId="77777777" w:rsidR="00B463F5" w:rsidRDefault="00B463F5" w:rsidP="00B463F5"/>
    <w:p w14:paraId="6E15ADC8" w14:textId="77777777" w:rsidR="00B463F5" w:rsidRDefault="00B463F5" w:rsidP="00B463F5">
      <w:r>
        <w:rPr>
          <w:rFonts w:hint="eastAsia"/>
        </w:rPr>
        <w:t>반대로</w:t>
      </w:r>
      <w:r>
        <w:t xml:space="preserve"> 시행령으로 고치</w:t>
      </w:r>
      <w:r>
        <w:rPr>
          <w:rFonts w:hint="eastAsia"/>
        </w:rPr>
        <w:t>지 못하는</w:t>
      </w:r>
      <w:r>
        <w:t xml:space="preserve"> </w:t>
      </w:r>
      <w:r>
        <w:rPr>
          <w:rFonts w:hint="eastAsia"/>
        </w:rPr>
        <w:t>부분</w:t>
      </w:r>
      <w:r>
        <w:t xml:space="preserve">도 </w:t>
      </w:r>
      <w:r>
        <w:rPr>
          <w:rFonts w:hint="eastAsia"/>
        </w:rPr>
        <w:t>명백하게</w:t>
      </w:r>
      <w:r>
        <w:t xml:space="preserve"> 구분해야 한다. 심의위원회 20인 구성의 큰 틀, 12개 중대한 과실의 입법 형식, 고위험 필수의료행위 사건의 자동개시 연결, 그리고 “전액배상 시 공소제한”이라는 형사특례 구조는 법률에 못 박혀 있어 시행령만으로 해소할 수 없다. 특히 전액배상과 공소제한을 직접 연결하는 구조는 2009년 헌법재판소가 교통사고처리특례법상 중상해 사건의 공소권 제한을 위헌이라고 본 논리와 유사한 헌법적 취약성을 안고 있는데, 이것은 시행령 차원에서 제거할 수 있는 문제가 아니다.</w:t>
      </w:r>
      <w:r>
        <w:rPr>
          <w:rFonts w:hint="eastAsia"/>
        </w:rPr>
        <w:t xml:space="preserve"> 아마도 실제 전액배상과 공소제한의 사례가 발생하면, 환자단체 및 일부 변호인 단체를 중심으로 헌법소원이 제기될 가능성이 매우 높다.</w:t>
      </w:r>
    </w:p>
    <w:p w14:paraId="50B8CF03" w14:textId="77777777" w:rsidR="00B463F5" w:rsidRDefault="00B463F5" w:rsidP="00B463F5"/>
    <w:p w14:paraId="5CEA7B95" w14:textId="77777777" w:rsidR="00B463F5" w:rsidRDefault="00B463F5" w:rsidP="00B463F5">
      <w:r>
        <w:rPr>
          <w:rFonts w:hint="eastAsia"/>
        </w:rPr>
        <w:t>시행령과</w:t>
      </w:r>
      <w:r>
        <w:t xml:space="preserve"> 시행규칙으로 반드시 다퉈야 하는 영역은 따로 있다. 구체적으로는 고위험 필수의료행위의 목록, 심의위원회 전문위원회의 설계와 의결 방식, 제척·기피·회피 규정, 설명의무 발생 시점과 내용·방식, 의료사고지원팀의 구성, 당사자 조력의 자격·보수·이해충돌 규정, 다수 감정 및 재감정 요건, 책임보험 연간 배상한도와 보험료 지원 기준, 그리고 조정·감정·심의 결과의 공개 범위와 </w:t>
      </w:r>
      <w:r>
        <w:lastRenderedPageBreak/>
        <w:t>식별위험 통제 기준</w:t>
      </w:r>
      <w:r>
        <w:rPr>
          <w:rFonts w:hint="eastAsia"/>
        </w:rPr>
        <w:t xml:space="preserve"> 등</w:t>
      </w:r>
      <w:r>
        <w:t>이다.</w:t>
      </w:r>
    </w:p>
    <w:p w14:paraId="2A93E6A3" w14:textId="77777777" w:rsidR="00B463F5" w:rsidRDefault="00B463F5" w:rsidP="00B463F5"/>
    <w:p w14:paraId="0703B716" w14:textId="77777777" w:rsidR="00B463F5" w:rsidRDefault="00B463F5" w:rsidP="00B463F5"/>
    <w:p w14:paraId="34937F7D" w14:textId="77777777" w:rsidR="00B463F5" w:rsidRDefault="00B463F5" w:rsidP="00B463F5">
      <w:r>
        <w:rPr>
          <w:rFonts w:hint="eastAsia"/>
        </w:rPr>
        <w:t>3. 중요한</w:t>
      </w:r>
      <w:r>
        <w:t xml:space="preserve"> 법적·실무적 위험</w:t>
      </w:r>
    </w:p>
    <w:p w14:paraId="198EB69A" w14:textId="77777777" w:rsidR="00B463F5" w:rsidRDefault="00B463F5" w:rsidP="00B463F5"/>
    <w:p w14:paraId="130003C5" w14:textId="77777777" w:rsidR="00B463F5" w:rsidRDefault="00B463F5" w:rsidP="00B463F5">
      <w:r>
        <w:rPr>
          <w:rFonts w:hint="eastAsia"/>
        </w:rPr>
        <w:t>첫</w:t>
      </w:r>
      <w:r>
        <w:t xml:space="preserve"> 번째 위험은 12개 중대한 과실 유형의 과도한 확장성이다. </w:t>
      </w:r>
      <w:r>
        <w:rPr>
          <w:rFonts w:hint="eastAsia"/>
        </w:rPr>
        <w:t>분쟁조정법 개정안에서 정의한 12대 중과실</w:t>
      </w:r>
      <w:r>
        <w:t xml:space="preserve"> 중에는 잘못된 혈액 수혈, 다른 환자나 다른 부위 수술, 체내 이물 잔존처럼 전형적 중과실로 보아도 큰 이견이 없는 유형도 있다. 문제는 제2호의 광범위한 설명·동의 누락, 제3호의 “의학적으로 필요한 진단·모니터링·처치·전원” 미이행, 제4호의 “기본적 안전관리 의무” 위반, 제7호의 “통상적으로 수용되는 진료에서 현저히 벗어난 의료행위” 같은 조항이다. 이 표현들은 </w:t>
      </w:r>
      <w:r>
        <w:rPr>
          <w:rFonts w:hint="eastAsia"/>
        </w:rPr>
        <w:t>사후적</w:t>
      </w:r>
      <w:r>
        <w:t xml:space="preserve"> 결과 편향이 개입되기 쉽고, 당시의 인력·장비·시간압박·응급성·기관 수준</w:t>
      </w:r>
      <w:r>
        <w:rPr>
          <w:rFonts w:hint="eastAsia"/>
        </w:rPr>
        <w:t xml:space="preserve"> 등</w:t>
      </w:r>
      <w:r>
        <w:t>을 무시한 채 나쁜 결과가 나왔다는 이유</w:t>
      </w:r>
      <w:r>
        <w:rPr>
          <w:rFonts w:hint="eastAsia"/>
        </w:rPr>
        <w:t>만으</w:t>
      </w:r>
      <w:r>
        <w:t>로 넓게 읽힐 위험이 크다.</w:t>
      </w:r>
    </w:p>
    <w:p w14:paraId="029D5D89" w14:textId="77777777" w:rsidR="00B463F5" w:rsidRDefault="00B463F5" w:rsidP="00B463F5"/>
    <w:p w14:paraId="6A19F063" w14:textId="77777777" w:rsidR="00B463F5" w:rsidRDefault="00B463F5" w:rsidP="00B463F5">
      <w:r>
        <w:rPr>
          <w:rFonts w:hint="eastAsia"/>
        </w:rPr>
        <w:t>두</w:t>
      </w:r>
      <w:r>
        <w:t xml:space="preserve"> 번째 위험은 의료사고심의위원회가 사실상 예비 법원처럼 기능할 수 있다는 점이다. 수사기관과 당사자는 심의를 신청할 수 있고, 수사기관은 과실 유무와 인과관계 규명을 위해 심의위원회에 감정서 등 자료를 요청할 수 있으며, 심의 결과는 익명 처리 후 공개될 수도 있다. 그런데도 </w:t>
      </w:r>
      <w:r>
        <w:rPr>
          <w:rFonts w:hint="eastAsia"/>
        </w:rPr>
        <w:t>법률 구조</w:t>
      </w:r>
      <w:r>
        <w:t xml:space="preserve">는 동일 진료과 전문의 참여, 동일 수준 의료기관 경험, 당직·응급·전원 여건 같은 </w:t>
      </w:r>
      <w:r>
        <w:rPr>
          <w:rFonts w:hint="eastAsia"/>
        </w:rPr>
        <w:t xml:space="preserve">과실 여부 판단 시 반드시 포함되어야 하는 </w:t>
      </w:r>
      <w:r>
        <w:t xml:space="preserve">핵심 </w:t>
      </w:r>
      <w:r>
        <w:rPr>
          <w:rFonts w:hint="eastAsia"/>
        </w:rPr>
        <w:t>사항들</w:t>
      </w:r>
      <w:r>
        <w:t>을 보장하지 않는다.</w:t>
      </w:r>
    </w:p>
    <w:p w14:paraId="0027F8D6" w14:textId="77777777" w:rsidR="00B463F5" w:rsidRDefault="00B463F5" w:rsidP="00B463F5"/>
    <w:p w14:paraId="1881DF52" w14:textId="77777777" w:rsidR="00B463F5" w:rsidRDefault="00B463F5" w:rsidP="00B463F5">
      <w:r>
        <w:rPr>
          <w:rFonts w:hint="eastAsia"/>
        </w:rPr>
        <w:t>외국과의 비교에서</w:t>
      </w:r>
      <w:r>
        <w:t>도 이러한 설계는 이</w:t>
      </w:r>
      <w:r>
        <w:rPr>
          <w:rFonts w:hint="eastAsia"/>
        </w:rPr>
        <w:t>례적이다</w:t>
      </w:r>
      <w:r>
        <w:t xml:space="preserve">. 대만은 의료법 제82조에서 과실과 형사책임을 “의료상 필요한 주의의무 위반”과 “합리적 임상전문재량의 일탈”로 묶고, 판단 기준으로 당시 </w:t>
      </w:r>
      <w:r>
        <w:rPr>
          <w:rFonts w:hint="eastAsia"/>
        </w:rPr>
        <w:t>해당 지역</w:t>
      </w:r>
      <w:r>
        <w:t>의 의료관행·의료수준·시설·근무조건·긴급성을 명문</w:t>
      </w:r>
      <w:r>
        <w:rPr>
          <w:rFonts w:hint="eastAsia"/>
        </w:rPr>
        <w:t>화했</w:t>
      </w:r>
      <w:r>
        <w:t xml:space="preserve">다. </w:t>
      </w:r>
      <w:r w:rsidRPr="00A13025">
        <w:t>영국</w:t>
      </w:r>
      <w:r>
        <w:rPr>
          <w:rFonts w:hint="eastAsia"/>
        </w:rPr>
        <w:t xml:space="preserve">에서 기소를 전담하고 있는 조직인 </w:t>
      </w:r>
      <w:r w:rsidRPr="00A13025">
        <w:t>Crown Prosecution Service(CPS)의 공식 기소지침</w:t>
      </w:r>
      <w:r>
        <w:t xml:space="preserve">은 </w:t>
      </w:r>
      <w:r>
        <w:rPr>
          <w:rFonts w:hint="eastAsia"/>
        </w:rPr>
        <w:t xml:space="preserve">중대한 과실치사죄 </w:t>
      </w:r>
      <w:r>
        <w:t>성립에 대해 “</w:t>
      </w:r>
      <w:r>
        <w:rPr>
          <w:rFonts w:hint="eastAsia"/>
        </w:rPr>
        <w:t>심각하고 명백한 사망 위험</w:t>
      </w:r>
      <w:r>
        <w:t>”</w:t>
      </w:r>
      <w:r>
        <w:rPr>
          <w:rFonts w:hint="eastAsia"/>
        </w:rPr>
        <w:t>과</w:t>
      </w:r>
      <w:r>
        <w:t xml:space="preserve"> “</w:t>
      </w:r>
      <w:r>
        <w:rPr>
          <w:rFonts w:hint="eastAsia"/>
        </w:rPr>
        <w:t>진정 예외적으로 나쁜 행위</w:t>
      </w:r>
      <w:r>
        <w:t xml:space="preserve">”라는 매우 높은 문턱을 요구하고, 실수나 심지어 매우 중대한 실수만으로는 부족하다고 반복해서 강조한다. 반면 이번 </w:t>
      </w:r>
      <w:r>
        <w:rPr>
          <w:rFonts w:hint="eastAsia"/>
        </w:rPr>
        <w:t>법</w:t>
      </w:r>
      <w:r>
        <w:t xml:space="preserve">안은 임상적 맥락을 </w:t>
      </w:r>
      <w:r>
        <w:rPr>
          <w:rFonts w:hint="eastAsia"/>
        </w:rPr>
        <w:t xml:space="preserve">이해하고 과실의 범위를 </w:t>
      </w:r>
      <w:r>
        <w:t>좁혀주는 장치보다</w:t>
      </w:r>
      <w:r>
        <w:rPr>
          <w:rFonts w:hint="eastAsia"/>
        </w:rPr>
        <w:t>는</w:t>
      </w:r>
      <w:r>
        <w:t xml:space="preserve"> 위원회 구성과 공개 중심으로 설계돼 있다.</w:t>
      </w:r>
    </w:p>
    <w:p w14:paraId="4960FB65" w14:textId="77777777" w:rsidR="00B463F5" w:rsidRDefault="00B463F5" w:rsidP="00B463F5">
      <w:r>
        <w:t xml:space="preserve"> </w:t>
      </w:r>
    </w:p>
    <w:p w14:paraId="28993927" w14:textId="77777777" w:rsidR="00B463F5" w:rsidRDefault="00B463F5" w:rsidP="00B463F5"/>
    <w:p w14:paraId="19324298" w14:textId="77777777" w:rsidR="00B463F5" w:rsidRDefault="00B463F5" w:rsidP="00B463F5">
      <w:r>
        <w:rPr>
          <w:rFonts w:hint="eastAsia"/>
        </w:rPr>
        <w:t>세</w:t>
      </w:r>
      <w:r>
        <w:t xml:space="preserve"> 번째 위험은 설명의무가 사과를 촉진하는 장치가 아니라, </w:t>
      </w:r>
      <w:r>
        <w:rPr>
          <w:rFonts w:hint="eastAsia"/>
        </w:rPr>
        <w:t xml:space="preserve">현장의 혼란을 가중시키는 </w:t>
      </w:r>
      <w:r>
        <w:t xml:space="preserve">장치로 변질될 수 있다는 점이다. </w:t>
      </w:r>
      <w:r>
        <w:rPr>
          <w:rFonts w:hint="eastAsia"/>
        </w:rPr>
        <w:t>법</w:t>
      </w:r>
      <w:r>
        <w:t>안은 제27조 제9항 대상 의료사고에 대해 “발생 사실을 안 날부터 7일 이내” 설명을 요구한다. 그러나 의료현장에서는 환자 악화가 질병의 자연경과인지, 설명된 합병증인지, 의료사고인지, 아직 인과관계가 불명확한 상태인 경우가 흔하다. 현재 법체계상 의료사고는 과실이 아니라 피해 발생만으로 성립할 수 있으므로, 결과가 나쁘다는 이유로 일</w:t>
      </w:r>
      <w:r>
        <w:rPr>
          <w:rFonts w:hint="eastAsia"/>
        </w:rPr>
        <w:t>단</w:t>
      </w:r>
      <w:r>
        <w:t xml:space="preserve"> ‘사고’로 주장될 가능성이 높다. 영국의 ‘Serious Incident</w:t>
      </w:r>
      <w:r>
        <w:rPr>
          <w:rFonts w:hint="eastAsia"/>
        </w:rPr>
        <w:t>(심각한 사고)</w:t>
      </w:r>
      <w:r>
        <w:t xml:space="preserve">’ 운영 FAQ는 </w:t>
      </w:r>
      <w:r>
        <w:rPr>
          <w:rFonts w:hint="eastAsia"/>
        </w:rPr>
        <w:t>통상적인 의료행위</w:t>
      </w:r>
      <w:r>
        <w:t xml:space="preserve">에 따라 관리된 기저질환의 자연경과나 불가피한 결과를 자동으로 </w:t>
      </w:r>
      <w:r>
        <w:rPr>
          <w:rFonts w:hint="eastAsia"/>
        </w:rPr>
        <w:t>심각한 사고</w:t>
      </w:r>
      <w:r>
        <w:t xml:space="preserve">로 보아서는 안 되며, 개별 사안별 검토가 필요하다고 밝힌다. 이번 </w:t>
      </w:r>
      <w:r>
        <w:rPr>
          <w:rFonts w:hint="eastAsia"/>
        </w:rPr>
        <w:t>법</w:t>
      </w:r>
      <w:r>
        <w:t>안에 그와 같은 안전장치가 없으면, 의사는 초기에 충분한 정보가 없</w:t>
      </w:r>
      <w:r>
        <w:rPr>
          <w:rFonts w:hint="eastAsia"/>
        </w:rPr>
        <w:t>어 사고라고 생각하지 않았기에</w:t>
      </w:r>
      <w:r>
        <w:t xml:space="preserve"> 말하지 못하고, 나중에는 7일 규정 위반이 되는 역설에 빠질 수 있다.</w:t>
      </w:r>
    </w:p>
    <w:p w14:paraId="38318840" w14:textId="77777777" w:rsidR="00B463F5" w:rsidRDefault="00B463F5" w:rsidP="00B463F5">
      <w:r>
        <w:t xml:space="preserve"> </w:t>
      </w:r>
    </w:p>
    <w:p w14:paraId="5F44E095" w14:textId="77777777" w:rsidR="00B463F5" w:rsidRDefault="00B463F5" w:rsidP="00B463F5"/>
    <w:p w14:paraId="70688C18" w14:textId="77777777" w:rsidR="00B463F5" w:rsidRDefault="00B463F5" w:rsidP="00B463F5">
      <w:r>
        <w:rPr>
          <w:rFonts w:hint="eastAsia"/>
        </w:rPr>
        <w:t>네</w:t>
      </w:r>
      <w:r>
        <w:t xml:space="preserve"> 번째 위험은 분쟁 신청 증가와 보험료 상승이 필수의료 공급 위축으로 연결될 수 있다는 점이다. 중재원 통계상 2025년 분쟁 접수와 상담은 이미 증가세였고, 환자대변인형 조력제도는 높은 신청률을 보였다. 현재 중재원은 실제로 “법률적인 전문조력”을 할 추가 조력인으로 3년 이상 경력의 변호사를 공개모집하고 있다. 이런 현실에서 </w:t>
      </w:r>
      <w:r>
        <w:rPr>
          <w:rFonts w:hint="eastAsia"/>
        </w:rPr>
        <w:t>분쟁조정법 개정</w:t>
      </w:r>
      <w:r>
        <w:t>안이 고위험 필수의료행위 사건에 자동개시, 조력, 다수 감정, 심의위 심의를 결합하면, 무과실 또는 인과 불명확 사건</w:t>
      </w:r>
      <w:r>
        <w:rPr>
          <w:rFonts w:hint="eastAsia"/>
        </w:rPr>
        <w:t>까지</w:t>
      </w:r>
      <w:r>
        <w:t xml:space="preserve"> 제도권 분쟁으로 유입될 가능성이 높다. 반면 보험료 지원은 국가의 재량 규정이 많고, 특히 일반 보험료 지원은 “할 수 있다” 수준에 머물러 있어 객관적 기준이 시행규칙에 </w:t>
      </w:r>
      <w:r>
        <w:rPr>
          <w:rFonts w:hint="eastAsia"/>
        </w:rPr>
        <w:t>명시되지</w:t>
      </w:r>
      <w:r>
        <w:t xml:space="preserve"> 않으면 비용이 의료기관으로 전가될 가능성이 크다.</w:t>
      </w:r>
    </w:p>
    <w:p w14:paraId="75D357FF" w14:textId="77777777" w:rsidR="00B463F5" w:rsidRDefault="00B463F5" w:rsidP="00B463F5"/>
    <w:p w14:paraId="47E3C567" w14:textId="77777777" w:rsidR="00B463F5" w:rsidRDefault="00B463F5" w:rsidP="00B463F5"/>
    <w:p w14:paraId="0818CC53" w14:textId="77777777" w:rsidR="00B463F5" w:rsidRDefault="00B463F5" w:rsidP="00B463F5">
      <w:r>
        <w:rPr>
          <w:rFonts w:hint="eastAsia"/>
        </w:rPr>
        <w:t>4. 해외</w:t>
      </w:r>
      <w:r>
        <w:t xml:space="preserve"> 제도가 주는 시사점</w:t>
      </w:r>
    </w:p>
    <w:p w14:paraId="3A633FB4" w14:textId="77777777" w:rsidR="00B463F5" w:rsidRDefault="00B463F5" w:rsidP="00B463F5"/>
    <w:p w14:paraId="0C8FB509" w14:textId="77777777" w:rsidR="00B463F5" w:rsidRDefault="00B463F5" w:rsidP="00B463F5">
      <w:r>
        <w:t xml:space="preserve">뉴질랜드, 미국, 덴마크, 스웨덴, 프랑스 </w:t>
      </w:r>
      <w:r>
        <w:rPr>
          <w:rFonts w:hint="eastAsia"/>
        </w:rPr>
        <w:t xml:space="preserve">등 </w:t>
      </w:r>
      <w:r w:rsidRPr="004A4328">
        <w:t>해외</w:t>
      </w:r>
      <w:r>
        <w:rPr>
          <w:rFonts w:hint="eastAsia"/>
        </w:rPr>
        <w:t xml:space="preserve"> </w:t>
      </w:r>
      <w:r w:rsidRPr="004A4328">
        <w:t xml:space="preserve">사례와 비교했을 때 분쟁조정법 개정안의 한계는 </w:t>
      </w:r>
      <w:r>
        <w:t xml:space="preserve">더 분명해진다. </w:t>
      </w:r>
      <w:r>
        <w:rPr>
          <w:rFonts w:hint="eastAsia"/>
        </w:rPr>
        <w:t xml:space="preserve">해외 사례에서 제시하는 </w:t>
      </w:r>
      <w:r>
        <w:t xml:space="preserve">공통 </w:t>
      </w:r>
      <w:r>
        <w:rPr>
          <w:rFonts w:hint="eastAsia"/>
        </w:rPr>
        <w:t>기준은 크게</w:t>
      </w:r>
      <w:r>
        <w:t xml:space="preserve"> 세 가지다.</w:t>
      </w:r>
    </w:p>
    <w:p w14:paraId="0020C92E" w14:textId="77777777" w:rsidR="00B463F5" w:rsidRDefault="00B463F5" w:rsidP="00B463F5"/>
    <w:p w14:paraId="04D291F4" w14:textId="77777777" w:rsidR="00B463F5" w:rsidRDefault="00B463F5" w:rsidP="00B463F5">
      <w:r>
        <w:t>첫째, 형사기준은 좁고 명확해야 한다. 대만은 과실기준을 실제 임상 맥락과 연결해 법률에 적시했고, 영국은 사망위험의 명백성과 예외적으로 나쁜 행태라는 매우 높은 기준을 유지한다.</w:t>
      </w:r>
      <w:r>
        <w:rPr>
          <w:rFonts w:hint="eastAsia"/>
        </w:rPr>
        <w:t xml:space="preserve"> 이에 분쟁조정법 개정안에서 12대 중과실을 모호하고 폭넓게 설정한 것은 향후 두고두고 문제가 될 가능성이 높다.</w:t>
      </w:r>
    </w:p>
    <w:p w14:paraId="1D35DF83" w14:textId="77777777" w:rsidR="00B463F5" w:rsidRDefault="00B463F5" w:rsidP="00B463F5"/>
    <w:p w14:paraId="36CC6A56" w14:textId="77777777" w:rsidR="00B463F5" w:rsidRDefault="00B463F5" w:rsidP="00B463F5">
      <w:r>
        <w:t xml:space="preserve">둘째, 사과와 설명은 책임인정과 </w:t>
      </w:r>
      <w:r>
        <w:rPr>
          <w:rFonts w:hint="eastAsia"/>
        </w:rPr>
        <w:t xml:space="preserve">명확히 </w:t>
      </w:r>
      <w:r>
        <w:t>분리해야 한다. 영국</w:t>
      </w:r>
      <w:r>
        <w:rPr>
          <w:rFonts w:hint="eastAsia"/>
        </w:rPr>
        <w:t>에서</w:t>
      </w:r>
      <w:r>
        <w:t>는 사과가 책임 인정이 아니라고 명확히 하고, 미국</w:t>
      </w:r>
      <w:r>
        <w:rPr>
          <w:rFonts w:hint="eastAsia"/>
        </w:rPr>
        <w:t>에서</w:t>
      </w:r>
      <w:r>
        <w:t>는 예상치 못한 환자 피</w:t>
      </w:r>
      <w:r>
        <w:rPr>
          <w:rFonts w:hint="eastAsia"/>
        </w:rPr>
        <w:t>해가</w:t>
      </w:r>
      <w:r>
        <w:t xml:space="preserve"> 확인되면 60분 이내부터 투명한 소통을 시작하도록 설계하면서도 그 목적을 환자·가족 지원, 안전 개선, 소송비용 감소에 둔다.</w:t>
      </w:r>
      <w:r>
        <w:rPr>
          <w:rFonts w:hint="eastAsia"/>
        </w:rPr>
        <w:t xml:space="preserve"> 물론 이번 법안에서도 설명과 유감표명 등이 재판에서 책임에 대한 증거로 활용될 수 없음을 명시했지만, 그 보다는 설명 및 유감표명이 책임 인정이 절대로 아니며, 설명 및 유감표명은 어디까지나 환자 및 유가족 지원의 목적임을 분명히 했어야 한다.</w:t>
      </w:r>
    </w:p>
    <w:p w14:paraId="5B182C4F" w14:textId="77777777" w:rsidR="00B463F5" w:rsidRDefault="00B463F5" w:rsidP="00B463F5"/>
    <w:p w14:paraId="4968CABC" w14:textId="77777777" w:rsidR="00B463F5" w:rsidRDefault="00B463F5" w:rsidP="00B463F5">
      <w:r>
        <w:t>셋째, 보상은 가능하면 책임추궁과 분리해야 한다. 뉴질랜드</w:t>
      </w:r>
      <w:r>
        <w:rPr>
          <w:rFonts w:hint="eastAsia"/>
        </w:rPr>
        <w:t>에서</w:t>
      </w:r>
      <w:r>
        <w:t xml:space="preserve">는 과실 입증 없이 </w:t>
      </w:r>
      <w:r>
        <w:rPr>
          <w:rFonts w:hint="eastAsia"/>
        </w:rPr>
        <w:t>피해</w:t>
      </w:r>
      <w:r>
        <w:t xml:space="preserve">를 보상하고, 덴마크는 공공재원 기반 환자보상 체계에서 “의료인의 실수를 입증할 필요가 없도록” 제도를 바꿨으며, 스웨덴 환자보험은 회피 가능한 손상만 보상하고 불가피한 합병증은 제외한다. 프랑스 역시 </w:t>
      </w:r>
      <w:r>
        <w:rPr>
          <w:rFonts w:hint="eastAsia"/>
        </w:rPr>
        <w:t>국가연대</w:t>
      </w:r>
      <w:r>
        <w:t xml:space="preserve">(solidarité nationale) 아래에서, 무료·신속·비소송형 절차와 전문가 심사를 결합해 보상과 책임을 분리한다. </w:t>
      </w:r>
    </w:p>
    <w:p w14:paraId="543667AF" w14:textId="77777777" w:rsidR="00B463F5" w:rsidRDefault="00B463F5" w:rsidP="00B463F5"/>
    <w:p w14:paraId="4634992A" w14:textId="77777777" w:rsidR="00B463F5" w:rsidRDefault="00B463F5" w:rsidP="00B463F5">
      <w:r>
        <w:rPr>
          <w:rFonts w:hint="eastAsia"/>
        </w:rPr>
        <w:t>해외 사례와의</w:t>
      </w:r>
      <w:r>
        <w:t xml:space="preserve"> 비교가 </w:t>
      </w:r>
      <w:r>
        <w:rPr>
          <w:rFonts w:hint="eastAsia"/>
        </w:rPr>
        <w:t>대한민국</w:t>
      </w:r>
      <w:r>
        <w:t xml:space="preserve">에 주는 메시지는 단순하다. 좋은 제도는 “환자 보호”를 위해 곧바로 “광범위한 중과실 추정”으로 가지 않는다. 오히려 과실 기준은 좁히고, 설명은 보호하고, 무과실 피해는 공적으로 분리 보상한다. 반대로 나쁜 제도는 설명의무·보험가입·전액배상·형사특례를 한 덩어리로 묶어 놓고, 그 요건을 </w:t>
      </w:r>
      <w:r>
        <w:rPr>
          <w:rFonts w:hint="eastAsia"/>
        </w:rPr>
        <w:t>어렵게 만들어 놓는</w:t>
      </w:r>
      <w:r>
        <w:t xml:space="preserve">다. 이번 </w:t>
      </w:r>
      <w:r>
        <w:rPr>
          <w:rFonts w:hint="eastAsia"/>
        </w:rPr>
        <w:t>분쟁조정법 개정</w:t>
      </w:r>
      <w:r>
        <w:t>안은 후자에 더 가깝기 때문에, 시행령 단계에서라도 해외 제도의 공통 원칙을 최대한 이식해야 한</w:t>
      </w:r>
      <w:r>
        <w:rPr>
          <w:rFonts w:hint="eastAsia"/>
        </w:rPr>
        <w:t>다</w:t>
      </w:r>
      <w:r>
        <w:t>.</w:t>
      </w:r>
    </w:p>
    <w:p w14:paraId="6AE4AC02" w14:textId="77777777" w:rsidR="00B463F5" w:rsidRDefault="00B463F5" w:rsidP="00B463F5"/>
    <w:p w14:paraId="61A7BB11" w14:textId="77777777" w:rsidR="00B463F5" w:rsidRDefault="00B463F5" w:rsidP="00B463F5"/>
    <w:p w14:paraId="7AC05C34" w14:textId="77777777" w:rsidR="00B463F5" w:rsidRDefault="00B463F5" w:rsidP="00B463F5">
      <w:r>
        <w:rPr>
          <w:rFonts w:hint="eastAsia"/>
        </w:rPr>
        <w:t>5. 시행령에</w:t>
      </w:r>
      <w:r>
        <w:t xml:space="preserve"> 반드시 </w:t>
      </w:r>
      <w:r>
        <w:rPr>
          <w:rFonts w:hint="eastAsia"/>
        </w:rPr>
        <w:t>반영되어야 할 내용 및 원칙</w:t>
      </w:r>
    </w:p>
    <w:p w14:paraId="409E3FB6" w14:textId="77777777" w:rsidR="00B463F5" w:rsidRDefault="00B463F5" w:rsidP="00B463F5"/>
    <w:p w14:paraId="11FEF6AC" w14:textId="77777777" w:rsidR="00B463F5" w:rsidRDefault="00B463F5" w:rsidP="00B463F5">
      <w:r>
        <w:rPr>
          <w:rFonts w:eastAsiaTheme="minorHAnsi"/>
        </w:rPr>
        <w:t>①</w:t>
      </w:r>
      <w:r>
        <w:rPr>
          <w:rFonts w:hint="eastAsia"/>
        </w:rPr>
        <w:t xml:space="preserve"> </w:t>
      </w:r>
      <w:r>
        <w:t xml:space="preserve">[대통령령] 고위험 필수의료행위는 </w:t>
      </w:r>
      <w:r>
        <w:rPr>
          <w:rFonts w:hint="eastAsia"/>
        </w:rPr>
        <w:t>구체적인 의료행위</w:t>
      </w:r>
      <w:r>
        <w:t xml:space="preserve">로 </w:t>
      </w:r>
      <w:r>
        <w:rPr>
          <w:rFonts w:hint="eastAsia"/>
        </w:rPr>
        <w:t>규정해 놓아</w:t>
      </w:r>
      <w:r>
        <w:t>야 한다.</w:t>
      </w:r>
    </w:p>
    <w:p w14:paraId="7D49D7E2" w14:textId="77777777" w:rsidR="00B463F5" w:rsidRDefault="00B463F5" w:rsidP="00B463F5">
      <w:r>
        <w:t>‘</w:t>
      </w:r>
      <w:r>
        <w:rPr>
          <w:rFonts w:hint="eastAsia"/>
        </w:rPr>
        <w:t>고위험 필수의료행위</w:t>
      </w:r>
      <w:r>
        <w:t>’</w:t>
      </w:r>
      <w:r>
        <w:rPr>
          <w:rFonts w:hint="eastAsia"/>
        </w:rPr>
        <w:t>라는</w:t>
      </w:r>
      <w:r>
        <w:t xml:space="preserve"> 용어는 형사특례의 보호와 자동개시·설명의무·보험부담이라는 규제를 동시에 연결하는 스위치</w:t>
      </w:r>
      <w:r>
        <w:rPr>
          <w:rFonts w:hint="eastAsia"/>
        </w:rPr>
        <w:t>라고 볼 수 있</w:t>
      </w:r>
      <w:r>
        <w:t xml:space="preserve">다. 따라서 “필수의료 분야 전반”처럼 넓은 부문 정의를 쓰면 보호보다 부담이 훨씬 크게 작동한다. </w:t>
      </w:r>
      <w:r>
        <w:rPr>
          <w:rFonts w:hint="eastAsia"/>
        </w:rPr>
        <w:t xml:space="preserve">이에 고위험 필수의료행위를 지정할 때는 </w:t>
      </w:r>
      <w:r>
        <w:t>응급수술, 중증외상, 고위험 분만 응급상황, 신생아·소아 중증응급, 혈역학적으로 불안정한 중환자 처치처럼 행위</w:t>
      </w:r>
      <w:r>
        <w:rPr>
          <w:rFonts w:hint="eastAsia"/>
        </w:rPr>
        <w:t xml:space="preserve">와 </w:t>
      </w:r>
      <w:r>
        <w:t xml:space="preserve">상황을 결합한 </w:t>
      </w:r>
      <w:r>
        <w:rPr>
          <w:rFonts w:hint="eastAsia"/>
        </w:rPr>
        <w:t>구체적인 의료행위를</w:t>
      </w:r>
      <w:r>
        <w:t xml:space="preserve"> 열거</w:t>
      </w:r>
      <w:r>
        <w:rPr>
          <w:rFonts w:hint="eastAsia"/>
        </w:rPr>
        <w:t>하는</w:t>
      </w:r>
      <w:r>
        <w:t xml:space="preserve"> 방식으로 시작하고, 개별 질환군이나 진료과 전체를 포괄하는 방식은 </w:t>
      </w:r>
      <w:r>
        <w:rPr>
          <w:rFonts w:hint="eastAsia"/>
        </w:rPr>
        <w:t>지양해</w:t>
      </w:r>
      <w:r>
        <w:t>야 한다.</w:t>
      </w:r>
    </w:p>
    <w:p w14:paraId="14EBEA2C" w14:textId="77777777" w:rsidR="00B463F5" w:rsidRDefault="00B463F5" w:rsidP="00B463F5"/>
    <w:p w14:paraId="39835135" w14:textId="77777777" w:rsidR="00B463F5" w:rsidRDefault="00B463F5" w:rsidP="00B463F5">
      <w:r>
        <w:rPr>
          <w:rFonts w:eastAsiaTheme="minorHAnsi"/>
        </w:rPr>
        <w:t>②</w:t>
      </w:r>
      <w:r>
        <w:rPr>
          <w:rFonts w:hint="eastAsia"/>
        </w:rPr>
        <w:t xml:space="preserve"> </w:t>
      </w:r>
      <w:r>
        <w:t>[대통령령 또는 심의위 기준] 중대한 과실은 제한해석 원칙을 명문화해야 한다.</w:t>
      </w:r>
    </w:p>
    <w:p w14:paraId="7DCF3312" w14:textId="77777777" w:rsidR="00B463F5" w:rsidRDefault="00B463F5" w:rsidP="00B463F5">
      <w:r>
        <w:rPr>
          <w:rFonts w:hint="eastAsia"/>
        </w:rPr>
        <w:t>중과실 기준을 명시한 제2조의 2의 제</w:t>
      </w:r>
      <w:r>
        <w:t>2·3·4·7호는 그대로 두더라도, 판단기준에서 “사후 결과만으로 중대한 과실을 추정하지 않는다”, “당시</w:t>
      </w:r>
      <w:r>
        <w:rPr>
          <w:rFonts w:hint="eastAsia"/>
        </w:rPr>
        <w:t>와 당시 지역</w:t>
      </w:r>
      <w:r>
        <w:t>의 인력·시설·근무조건·응급성·전원 가능성·동일 수준 기관의 표준을 함께 본다”, “의학적</w:t>
      </w:r>
      <w:r>
        <w:rPr>
          <w:rFonts w:hint="eastAsia"/>
        </w:rPr>
        <w:t>으로</w:t>
      </w:r>
      <w:r>
        <w:t xml:space="preserve"> 소수</w:t>
      </w:r>
      <w:r>
        <w:rPr>
          <w:rFonts w:hint="eastAsia"/>
        </w:rPr>
        <w:t>가 주장하는 치료법이라고 하더라도 의학적 근거가 있으면,</w:t>
      </w:r>
      <w:r>
        <w:t xml:space="preserve"> 합리적 재량 범위 내 선택</w:t>
      </w:r>
      <w:r>
        <w:rPr>
          <w:rFonts w:hint="eastAsia"/>
        </w:rPr>
        <w:t>으로 보고</w:t>
      </w:r>
      <w:r>
        <w:t xml:space="preserve"> 중대한 과실로 보지 않는다”고 못 박아야 한다. 특히 제7호의 “통상적으로 수용되는 진료에서 현저히 벗어난 경우”는 단순한 가이드라인 이탈이 아니라 책임 있는 전문가 집단이 수용할 수 없는 정도의 현저한 이탈로 한</w:t>
      </w:r>
      <w:r>
        <w:rPr>
          <w:rFonts w:hint="eastAsia"/>
        </w:rPr>
        <w:t>정되어야</w:t>
      </w:r>
      <w:r>
        <w:t xml:space="preserve"> 한다.</w:t>
      </w:r>
    </w:p>
    <w:p w14:paraId="10E72B0F" w14:textId="77777777" w:rsidR="00B463F5" w:rsidRDefault="00B463F5" w:rsidP="00B463F5"/>
    <w:p w14:paraId="0F6B991F" w14:textId="77777777" w:rsidR="00B463F5" w:rsidRDefault="00B463F5" w:rsidP="00B463F5">
      <w:r>
        <w:rPr>
          <w:rFonts w:eastAsiaTheme="minorHAnsi"/>
        </w:rPr>
        <w:t>③</w:t>
      </w:r>
      <w:r>
        <w:rPr>
          <w:rFonts w:hint="eastAsia"/>
        </w:rPr>
        <w:t xml:space="preserve"> </w:t>
      </w:r>
      <w:r>
        <w:t>[대통령령] 의료사고심의위원회는 전체회의가 아니라 전문위원회 중심으로 운용되어야 한다.</w:t>
      </w:r>
    </w:p>
    <w:p w14:paraId="2DDDF65B" w14:textId="77777777" w:rsidR="00B463F5" w:rsidRDefault="00B463F5" w:rsidP="00B463F5">
      <w:r>
        <w:rPr>
          <w:rFonts w:hint="eastAsia"/>
        </w:rPr>
        <w:t>각</w:t>
      </w:r>
      <w:r>
        <w:t xml:space="preserve"> 사건은 필수적으로 분야별 전문위원회에 먼저 회부하고, 전문위원회는 외부전문가를 포함해 구성하되 3분의 2 이상을 해당 진료과목 또는 인접 세부전문과목 임상의로 채워야 한다. 동일 진료과 전문의가 없으면 의결 자체를 못 하게 하거나, 최소한 외부전문가를 강제 위촉하도록 해야 한다. </w:t>
      </w:r>
      <w:r>
        <w:rPr>
          <w:rFonts w:hint="eastAsia"/>
        </w:rPr>
        <w:t>법</w:t>
      </w:r>
      <w:r>
        <w:t xml:space="preserve">안이 허용한 전문위원회 제도를 이런 방식으로 설계하지 않으면, </w:t>
      </w:r>
      <w:r>
        <w:rPr>
          <w:rFonts w:hint="eastAsia"/>
        </w:rPr>
        <w:t xml:space="preserve">의료 비전문가가 과반이상 포함되어 있는 </w:t>
      </w:r>
      <w:r>
        <w:t xml:space="preserve">20인 전체회의 구조의 약점을 보완할 방법이 사실상 없다. </w:t>
      </w:r>
    </w:p>
    <w:p w14:paraId="3740CE76" w14:textId="77777777" w:rsidR="00B463F5" w:rsidRDefault="00B463F5" w:rsidP="00B463F5"/>
    <w:p w14:paraId="4C3D50B2" w14:textId="77777777" w:rsidR="00B463F5" w:rsidRDefault="00B463F5" w:rsidP="00B463F5">
      <w:r>
        <w:rPr>
          <w:rFonts w:hint="eastAsia"/>
        </w:rPr>
        <w:t>④</w:t>
      </w:r>
      <w:r>
        <w:t xml:space="preserve"> [대통령령] </w:t>
      </w:r>
      <w:r>
        <w:rPr>
          <w:rFonts w:hint="eastAsia"/>
        </w:rPr>
        <w:t>의료사고</w:t>
      </w:r>
      <w:r>
        <w:t xml:space="preserve">심의위원회 </w:t>
      </w:r>
      <w:r>
        <w:rPr>
          <w:rFonts w:hint="eastAsia"/>
        </w:rPr>
        <w:t>위원 선정 시 공개적으로 법안에 대해 반대한 인물이나 단체들은 배제해</w:t>
      </w:r>
      <w:r>
        <w:t>야 한다.</w:t>
      </w:r>
    </w:p>
    <w:p w14:paraId="674D8F9C" w14:textId="77777777" w:rsidR="00B463F5" w:rsidRDefault="00B463F5" w:rsidP="00B463F5">
      <w:r>
        <w:rPr>
          <w:rFonts w:hint="eastAsia"/>
        </w:rPr>
        <w:t>애초에 분쟁조정법 개정안이 발의된 이유는 법의 실효성 여부를 떠나서 불필요한 소송을 줄이고, 의료진들이 짊어지고 있는 과도한 사법 리스크를 줄이기 위해서이</w:t>
      </w:r>
      <w:r>
        <w:t>다.</w:t>
      </w:r>
      <w:r>
        <w:rPr>
          <w:rFonts w:hint="eastAsia"/>
        </w:rPr>
        <w:t xml:space="preserve"> 그런데 법 개정 과정에서 일부 시민단체와 변호사 단체에서는 법 개정을 노골적으로 반대하고, 법안 개정의 취지를 부정했다. 그런데 만약 법 개정을 공개적으로 반대했던 인물이나 단체 소속 인사가 심의위원으로 선정된다면, 법 자체를 부정했던 이러한 사람들은 일방적인 주장만을 할 것이기에 공정한 심의는 불가능해질 것이다. 따라서 심의위원 선정 시 해당 법안을 공개적으로 반대했던 사람과 단체는 원칙적으로 심의위원 선정에서 배제한다는 내용을 시행령에 담아야 한다.</w:t>
      </w:r>
    </w:p>
    <w:p w14:paraId="258B306F" w14:textId="77777777" w:rsidR="00B463F5" w:rsidRDefault="00B463F5" w:rsidP="00B463F5"/>
    <w:p w14:paraId="67CDE737" w14:textId="77777777" w:rsidR="00B463F5" w:rsidRDefault="00B463F5" w:rsidP="00B463F5">
      <w:r>
        <w:rPr>
          <w:rFonts w:eastAsiaTheme="minorHAnsi"/>
        </w:rPr>
        <w:t>⑤</w:t>
      </w:r>
      <w:r>
        <w:rPr>
          <w:rFonts w:hint="eastAsia"/>
        </w:rPr>
        <w:t xml:space="preserve"> </w:t>
      </w:r>
      <w:r>
        <w:t xml:space="preserve">[대통령령] </w:t>
      </w:r>
      <w:r>
        <w:rPr>
          <w:rFonts w:hint="eastAsia"/>
        </w:rPr>
        <w:t xml:space="preserve">심의위원회 </w:t>
      </w:r>
      <w:r>
        <w:t>3개 공무원석은 수사기관이 아니라 보건의료·환자안전 행정기관으로 제한해야 한다.</w:t>
      </w:r>
    </w:p>
    <w:p w14:paraId="612C2177" w14:textId="77777777" w:rsidR="00B463F5" w:rsidRDefault="00B463F5" w:rsidP="00B463F5">
      <w:r>
        <w:rPr>
          <w:rFonts w:hint="eastAsia"/>
        </w:rPr>
        <w:lastRenderedPageBreak/>
        <w:t>법은</w:t>
      </w:r>
      <w:r>
        <w:t xml:space="preserve"> </w:t>
      </w:r>
      <w:r>
        <w:rPr>
          <w:rFonts w:hint="eastAsia"/>
        </w:rPr>
        <w:t xml:space="preserve">의료사고심의위원회 내 </w:t>
      </w:r>
      <w:r>
        <w:t>3명의 고위공무원단 소속 공무원을 대통령령에 맡기고 있다. 이 자리</w:t>
      </w:r>
      <w:r>
        <w:rPr>
          <w:rFonts w:hint="eastAsia"/>
        </w:rPr>
        <w:t>는 반드시</w:t>
      </w:r>
      <w:r>
        <w:t xml:space="preserve"> 검찰·경찰·소비자 행정이 아니라 보건복지, 식약, 질병관리, 환자안전 같은 보건의료 문맥을 이해하는 기관으로 제한</w:t>
      </w:r>
      <w:r>
        <w:rPr>
          <w:rFonts w:hint="eastAsia"/>
        </w:rPr>
        <w:t>해야</w:t>
      </w:r>
      <w:r>
        <w:t xml:space="preserve"> 한다. 동시에 시민단체 추천위원·변호사위원에 대해서도 공개적인 활동 경력, 이해충돌, 사건 관련 사전 발언, 소송 대리 전력 등을 폭넓게 신고·제척 사유로 넣어야 한다.</w:t>
      </w:r>
    </w:p>
    <w:p w14:paraId="750CAF10" w14:textId="77777777" w:rsidR="00B463F5" w:rsidRDefault="00B463F5" w:rsidP="00B463F5"/>
    <w:p w14:paraId="02A4FB0B" w14:textId="77777777" w:rsidR="00B463F5" w:rsidRDefault="00B463F5" w:rsidP="00B463F5">
      <w:r>
        <w:rPr>
          <w:rFonts w:eastAsiaTheme="minorHAnsi"/>
        </w:rPr>
        <w:t>⑥</w:t>
      </w:r>
      <w:r>
        <w:rPr>
          <w:rFonts w:hint="eastAsia"/>
        </w:rPr>
        <w:t xml:space="preserve"> </w:t>
      </w:r>
      <w:r>
        <w:t>[보건복지부령] 설명의무의 발생 시점은 ‘결과 발생 시점’이 아니라 ‘합리적 인지 시점’이어야 한다.</w:t>
      </w:r>
    </w:p>
    <w:p w14:paraId="0E3F7CC9" w14:textId="77777777" w:rsidR="00B463F5" w:rsidRDefault="00B463F5" w:rsidP="00B463F5">
      <w:r>
        <w:rPr>
          <w:rFonts w:hint="eastAsia"/>
        </w:rPr>
        <w:t>질병의</w:t>
      </w:r>
      <w:r>
        <w:t xml:space="preserve"> 자연경과, 사전에 충분히 설명된 예견 가능한 합병증, 인과관계가 아직 불명확한 상황, 환자 상태 불안정으로 즉시 상세 설명이 불가능한 경우는 7일 규정의 </w:t>
      </w:r>
      <w:r>
        <w:rPr>
          <w:rFonts w:hint="eastAsia"/>
        </w:rPr>
        <w:t>적용</w:t>
      </w:r>
      <w:r>
        <w:t xml:space="preserve">에서 제외하거나 유예할 수 있어야 한다. 대신 </w:t>
      </w:r>
      <w:r>
        <w:rPr>
          <w:rFonts w:hint="eastAsia"/>
        </w:rPr>
        <w:t xml:space="preserve">가급적 조기에 </w:t>
      </w:r>
      <w:r>
        <w:t>“초기 사실 통지”를 하고, 진료기록 검토와 추가 판단 후 보충설명을 허용하는 단계적 설명 모델을 넣어야 한다. 그렇지 않으면 말할수록 불리</w:t>
      </w:r>
      <w:r>
        <w:rPr>
          <w:rFonts w:hint="eastAsia"/>
        </w:rPr>
        <w:t>해지</w:t>
      </w:r>
      <w:r>
        <w:t>고, 신중할수록 위반이 되는 구조가 된다.</w:t>
      </w:r>
    </w:p>
    <w:p w14:paraId="34A2EFCF" w14:textId="77777777" w:rsidR="00B463F5" w:rsidRDefault="00B463F5" w:rsidP="00B463F5"/>
    <w:p w14:paraId="69D698EF" w14:textId="77777777" w:rsidR="00B463F5" w:rsidRDefault="00B463F5" w:rsidP="00B463F5">
      <w:r>
        <w:rPr>
          <w:rFonts w:eastAsiaTheme="minorHAnsi"/>
        </w:rPr>
        <w:t>⑦</w:t>
      </w:r>
      <w:r>
        <w:rPr>
          <w:rFonts w:hint="eastAsia"/>
        </w:rPr>
        <w:t xml:space="preserve"> </w:t>
      </w:r>
      <w:r>
        <w:t>[보건복지부령] 설명 내용은 책임 인정이 아니라 사실 설명과 향후 조치 중심으로 표준화해야 한다.</w:t>
      </w:r>
    </w:p>
    <w:p w14:paraId="68B606A0" w14:textId="77777777" w:rsidR="00B463F5" w:rsidRDefault="00B463F5" w:rsidP="00B463F5">
      <w:r>
        <w:rPr>
          <w:rFonts w:hint="eastAsia"/>
        </w:rPr>
        <w:t xml:space="preserve">영국과 </w:t>
      </w:r>
      <w:r>
        <w:t xml:space="preserve">미국 </w:t>
      </w:r>
      <w:r>
        <w:rPr>
          <w:rFonts w:hint="eastAsia"/>
        </w:rPr>
        <w:t>사례</w:t>
      </w:r>
      <w:r>
        <w:t xml:space="preserve">의 공통점은, 초기 설명이 환자·가족 지원과 재발방지 학습의 출발점이라는 것이다. 한국 시행규칙도 설명서 표준양식, 기록보존 방식, 설명 참여자, 후속 설명 절차, 소규모 병원의 지역 공동지원체계까지 포함해야 한다. 특히 </w:t>
      </w:r>
      <w:r>
        <w:rPr>
          <w:rFonts w:hint="eastAsia"/>
        </w:rPr>
        <w:t xml:space="preserve">의료기관에서 조직해야 하는 </w:t>
      </w:r>
      <w:r>
        <w:t>의료사고지원팀은 법무 담당자만이 아니라 임상 책임자·환자소통 담당자·기록관리 담당자를 포함한 구조로 설계되어야 한다.</w:t>
      </w:r>
    </w:p>
    <w:p w14:paraId="2A29275B" w14:textId="77777777" w:rsidR="00B463F5" w:rsidRDefault="00B463F5" w:rsidP="00B463F5"/>
    <w:p w14:paraId="07D791DF" w14:textId="77777777" w:rsidR="00B463F5" w:rsidRDefault="00B463F5" w:rsidP="00B463F5">
      <w:r>
        <w:rPr>
          <w:rFonts w:eastAsiaTheme="minorHAnsi"/>
        </w:rPr>
        <w:t>⑧</w:t>
      </w:r>
      <w:r>
        <w:rPr>
          <w:rFonts w:hint="eastAsia"/>
        </w:rPr>
        <w:t xml:space="preserve"> </w:t>
      </w:r>
      <w:r>
        <w:t>[보건복지부령] 당사자 조력은 ‘쌍방 대칭’과 ‘소송 유도 차단’이 핵심이어야 한다.</w:t>
      </w:r>
    </w:p>
    <w:p w14:paraId="7403DA3F" w14:textId="77777777" w:rsidR="00B463F5" w:rsidRDefault="00B463F5" w:rsidP="00B463F5">
      <w:r>
        <w:rPr>
          <w:rFonts w:hint="eastAsia"/>
        </w:rPr>
        <w:t>현재</w:t>
      </w:r>
      <w:r>
        <w:t xml:space="preserve"> 중재원 운영은 사실상 변호사 중심 조력인 모집으로 돌아가고 있고, </w:t>
      </w:r>
      <w:r>
        <w:rPr>
          <w:rFonts w:hint="eastAsia"/>
        </w:rPr>
        <w:t>이번 법안</w:t>
      </w:r>
      <w:r>
        <w:t>도 변호사·법학·보건학 석사·의료인력을 폭넓게 허용하고 있다. 시행규칙에서는 법률조력</w:t>
      </w:r>
      <w:r>
        <w:rPr>
          <w:rFonts w:hint="eastAsia"/>
        </w:rPr>
        <w:t>만</w:t>
      </w:r>
      <w:r>
        <w:t xml:space="preserve"> 받고 임상조력</w:t>
      </w:r>
      <w:r>
        <w:rPr>
          <w:rFonts w:hint="eastAsia"/>
        </w:rPr>
        <w:t>은</w:t>
      </w:r>
      <w:r>
        <w:t xml:space="preserve"> 받지 못하는 비대칭이 생기지 않도록, 법률</w:t>
      </w:r>
      <w:r>
        <w:rPr>
          <w:rFonts w:hint="eastAsia"/>
        </w:rPr>
        <w:t xml:space="preserve">과 </w:t>
      </w:r>
      <w:r>
        <w:t xml:space="preserve">임상 조력의 균형 배정, </w:t>
      </w:r>
      <w:r>
        <w:rPr>
          <w:rFonts w:hint="eastAsia"/>
        </w:rPr>
        <w:t>변호사 및 해당 로펌의 경우 조력</w:t>
      </w:r>
      <w:r>
        <w:t xml:space="preserve"> 종료 후 일정 기간 동일 사건의 소송대리 금지, </w:t>
      </w:r>
      <w:r>
        <w:rPr>
          <w:rFonts w:hint="eastAsia"/>
        </w:rPr>
        <w:t xml:space="preserve">조력자의 </w:t>
      </w:r>
      <w:r>
        <w:t xml:space="preserve">성과보수성 보수 금지, </w:t>
      </w:r>
      <w:r>
        <w:rPr>
          <w:rFonts w:hint="eastAsia"/>
        </w:rPr>
        <w:t xml:space="preserve">조력자가 </w:t>
      </w:r>
      <w:r>
        <w:t>사건</w:t>
      </w:r>
      <w:r>
        <w:rPr>
          <w:rFonts w:hint="eastAsia"/>
        </w:rPr>
        <w:t>을</w:t>
      </w:r>
      <w:r>
        <w:t xml:space="preserve"> 유인</w:t>
      </w:r>
      <w:r>
        <w:rPr>
          <w:rFonts w:hint="eastAsia"/>
        </w:rPr>
        <w:t xml:space="preserve">하거나 소송을 </w:t>
      </w:r>
      <w:r>
        <w:t>권유</w:t>
      </w:r>
      <w:r>
        <w:rPr>
          <w:rFonts w:hint="eastAsia"/>
        </w:rPr>
        <w:t>하는 것을</w:t>
      </w:r>
      <w:r>
        <w:t xml:space="preserve"> 금지</w:t>
      </w:r>
      <w:r>
        <w:rPr>
          <w:rFonts w:hint="eastAsia"/>
        </w:rPr>
        <w:t>하는</w:t>
      </w:r>
      <w:r>
        <w:t xml:space="preserve"> 기준</w:t>
      </w:r>
      <w:r>
        <w:rPr>
          <w:rFonts w:hint="eastAsia"/>
        </w:rPr>
        <w:t>도</w:t>
      </w:r>
      <w:r>
        <w:t xml:space="preserve"> 넣어야 한다. </w:t>
      </w:r>
    </w:p>
    <w:p w14:paraId="52D8929B" w14:textId="77777777" w:rsidR="00B463F5" w:rsidRDefault="00B463F5" w:rsidP="00B463F5"/>
    <w:p w14:paraId="597D178D" w14:textId="77777777" w:rsidR="00B463F5" w:rsidRDefault="00B463F5" w:rsidP="00B463F5">
      <w:r>
        <w:rPr>
          <w:rFonts w:eastAsiaTheme="minorHAnsi"/>
        </w:rPr>
        <w:t>⑨</w:t>
      </w:r>
      <w:r>
        <w:rPr>
          <w:rFonts w:hint="eastAsia"/>
        </w:rPr>
        <w:t xml:space="preserve"> </w:t>
      </w:r>
      <w:r>
        <w:t>[보건복지부령] 재감정·추가감정은 엄격한 문턱을 둬야 한다.</w:t>
      </w:r>
    </w:p>
    <w:p w14:paraId="2EFD74DC" w14:textId="77777777" w:rsidR="00B463F5" w:rsidRDefault="00B463F5" w:rsidP="00B463F5">
      <w:r>
        <w:rPr>
          <w:rFonts w:hint="eastAsia"/>
        </w:rPr>
        <w:t>분쟁조정법 개정</w:t>
      </w:r>
      <w:r>
        <w:t xml:space="preserve">안은 중대한 사실관계 변경이나 새로운 자료 제출이 있으면 재감정·추가감정을 허용한다. 이 문구를 느슨하게 두면 불복 절차가 상시화되고 사건이 장기화된다. </w:t>
      </w:r>
      <w:r>
        <w:rPr>
          <w:rFonts w:hint="eastAsia"/>
        </w:rPr>
        <w:t xml:space="preserve">이에 </w:t>
      </w:r>
      <w:r>
        <w:t>시행규칙은 “판단을 실질적으로 바꿀 가능성이 있는 신규 자료”로 요건을 한정하고, 원칙적으로 1회로 제한하며, 재감정은 동일 전문과의 다른 패널이 맡도록 해야 한다.</w:t>
      </w:r>
    </w:p>
    <w:p w14:paraId="4C78E055" w14:textId="77777777" w:rsidR="00B463F5" w:rsidRDefault="00B463F5" w:rsidP="00B463F5"/>
    <w:p w14:paraId="5442F07F" w14:textId="77777777" w:rsidR="00B463F5" w:rsidRDefault="00B463F5" w:rsidP="00B463F5">
      <w:r>
        <w:rPr>
          <w:rFonts w:eastAsiaTheme="minorHAnsi"/>
        </w:rPr>
        <w:t>⑩</w:t>
      </w:r>
      <w:r>
        <w:rPr>
          <w:rFonts w:hint="eastAsia"/>
        </w:rPr>
        <w:t xml:space="preserve"> </w:t>
      </w:r>
      <w:r>
        <w:t xml:space="preserve">[대통령령·보건복지부령] 책임보험은 </w:t>
      </w:r>
      <w:r>
        <w:rPr>
          <w:rFonts w:hint="eastAsia"/>
        </w:rPr>
        <w:t xml:space="preserve">단순히 </w:t>
      </w:r>
      <w:r>
        <w:t>민간보험 의무가입</w:t>
      </w:r>
      <w:r>
        <w:rPr>
          <w:rFonts w:hint="eastAsia"/>
        </w:rPr>
        <w:t>만으로 유지해서는 안 되고,</w:t>
      </w:r>
      <w:r>
        <w:t xml:space="preserve"> 공적 재</w:t>
      </w:r>
      <w:r>
        <w:rPr>
          <w:rFonts w:hint="eastAsia"/>
        </w:rPr>
        <w:t>원의 지원이 가능한 형태</w:t>
      </w:r>
      <w:r>
        <w:t>로 설계해야 한다.</w:t>
      </w:r>
    </w:p>
    <w:p w14:paraId="27112D40" w14:textId="77777777" w:rsidR="00B463F5" w:rsidRDefault="00B463F5" w:rsidP="00B463F5">
      <w:r>
        <w:rPr>
          <w:rFonts w:hint="eastAsia"/>
        </w:rPr>
        <w:t>법안은</w:t>
      </w:r>
      <w:r>
        <w:t xml:space="preserve"> 가입 의무, 연간 배상한도, 약관·손해평가·지급기준 관리, 그리고 보험료 전부 또는 일부 지원의 근거를 두고 있다. </w:t>
      </w:r>
      <w:r>
        <w:rPr>
          <w:rFonts w:hint="eastAsia"/>
        </w:rPr>
        <w:t>의료기관의 경제적 피해를 최소화하려면,</w:t>
      </w:r>
      <w:r>
        <w:t xml:space="preserve"> 연간 배상한도의 기관 종별 차</w:t>
      </w:r>
      <w:r>
        <w:lastRenderedPageBreak/>
        <w:t>등, 방어비용의 담보한도 외 지급, 무과실·불가항력 보상 사건의 손해율 분리, 연도별 보험료 급등 상한</w:t>
      </w:r>
      <w:r>
        <w:rPr>
          <w:rFonts w:hint="eastAsia"/>
        </w:rPr>
        <w:t xml:space="preserve"> 설정</w:t>
      </w:r>
      <w:r>
        <w:t xml:space="preserve">, 고위험 필수의료 초과담보에 대한 </w:t>
      </w:r>
      <w:r>
        <w:rPr>
          <w:rFonts w:hint="eastAsia"/>
        </w:rPr>
        <w:t xml:space="preserve">국가 </w:t>
      </w:r>
      <w:r>
        <w:t xml:space="preserve">당연 지원 기준을 </w:t>
      </w:r>
      <w:r>
        <w:rPr>
          <w:rFonts w:hint="eastAsia"/>
        </w:rPr>
        <w:t>마련</w:t>
      </w:r>
      <w:r>
        <w:t>해야 한다. 뉴질랜드·덴마크·스웨덴·프랑스처럼 보상과 책임을 분리하거나 공공이 손실의 큰 부분을 흡수하는 구조가 있어야</w:t>
      </w:r>
      <w:r>
        <w:rPr>
          <w:rFonts w:hint="eastAsia"/>
        </w:rPr>
        <w:t>만</w:t>
      </w:r>
      <w:r>
        <w:t xml:space="preserve"> 보험료 폭등을 막을 수 있다.</w:t>
      </w:r>
    </w:p>
    <w:p w14:paraId="5901C66B" w14:textId="77777777" w:rsidR="00B463F5" w:rsidRDefault="00B463F5" w:rsidP="00B463F5"/>
    <w:p w14:paraId="3425CC5E" w14:textId="77777777" w:rsidR="00B463F5" w:rsidRDefault="00B463F5" w:rsidP="00B463F5">
      <w:r>
        <w:rPr>
          <w:rFonts w:eastAsiaTheme="minorHAnsi"/>
        </w:rPr>
        <w:t>⑪</w:t>
      </w:r>
      <w:r>
        <w:rPr>
          <w:rFonts w:hint="eastAsia"/>
        </w:rPr>
        <w:t xml:space="preserve"> </w:t>
      </w:r>
      <w:r>
        <w:t>[보건복지부령] 조정·감정·심의 결과 공개</w:t>
      </w:r>
      <w:r>
        <w:rPr>
          <w:rFonts w:hint="eastAsia"/>
        </w:rPr>
        <w:t xml:space="preserve"> 시에</w:t>
      </w:r>
      <w:r>
        <w:t>는 식별 위험</w:t>
      </w:r>
      <w:r>
        <w:rPr>
          <w:rFonts w:hint="eastAsia"/>
        </w:rPr>
        <w:t>이</w:t>
      </w:r>
      <w:r>
        <w:t xml:space="preserve"> 통제</w:t>
      </w:r>
      <w:r>
        <w:rPr>
          <w:rFonts w:hint="eastAsia"/>
        </w:rPr>
        <w:t>될 수 있어야</w:t>
      </w:r>
      <w:r>
        <w:t xml:space="preserve"> 한다.</w:t>
      </w:r>
    </w:p>
    <w:p w14:paraId="291DEF4B" w14:textId="77777777" w:rsidR="00B463F5" w:rsidRDefault="00B463F5" w:rsidP="00B463F5">
      <w:r>
        <w:rPr>
          <w:rFonts w:hint="eastAsia"/>
        </w:rPr>
        <w:t>법</w:t>
      </w:r>
      <w:r>
        <w:t>안은 조정·감정 결과와 심의 결과의 공개를 모두 예정하고 있다. 희귀질환, 특정 지역 유일기관, 희귀시술, 날짜 조합, 연령·성별·전원 경로 같은 정보만으로도 실질적</w:t>
      </w:r>
      <w:r>
        <w:rPr>
          <w:rFonts w:hint="eastAsia"/>
        </w:rPr>
        <w:t>으로</w:t>
      </w:r>
      <w:r>
        <w:t xml:space="preserve"> 재식별이 가능</w:t>
      </w:r>
      <w:r>
        <w:rPr>
          <w:rFonts w:hint="eastAsia"/>
        </w:rPr>
        <w:t>하여 익명성이 보장되지 않으</w:t>
      </w:r>
      <w:r>
        <w:t>므로, 공개</w:t>
      </w:r>
      <w:r>
        <w:rPr>
          <w:rFonts w:hint="eastAsia"/>
        </w:rPr>
        <w:t xml:space="preserve"> </w:t>
      </w:r>
      <w:r>
        <w:t>예외 사유를 넓게 잡아야 한다. 아울러 공개 문서</w:t>
      </w:r>
      <w:r>
        <w:rPr>
          <w:rFonts w:hint="eastAsia"/>
        </w:rPr>
        <w:t>가 타 소송 등에 악용되지 않게 하기 위해서</w:t>
      </w:r>
      <w:r>
        <w:t>는 법원의 확정판결이나 과실 추정력이 있는 자료가 아니라 행정적 전문판단 자료임을 명시하도록 해야 한다.</w:t>
      </w:r>
    </w:p>
    <w:p w14:paraId="7C71CC1C" w14:textId="77777777" w:rsidR="00B463F5" w:rsidRDefault="00B463F5" w:rsidP="00B463F5"/>
    <w:p w14:paraId="34B05365" w14:textId="11517EB7" w:rsidR="00B463F5" w:rsidRDefault="00B463F5" w:rsidP="00B463F5">
      <w:r>
        <w:rPr>
          <w:rFonts w:hint="eastAsia"/>
        </w:rPr>
        <w:t>위에서 언급한 1</w:t>
      </w:r>
      <w:r w:rsidR="00BE42BB">
        <w:t>1</w:t>
      </w:r>
      <w:r>
        <w:rPr>
          <w:rFonts w:hint="eastAsia"/>
        </w:rPr>
        <w:t>가지 내용 및 원칙 모두가 중요하지만 현실적으로는</w:t>
      </w:r>
      <w:r>
        <w:t xml:space="preserve"> 특히 다음 세 </w:t>
      </w:r>
      <w:r>
        <w:rPr>
          <w:rFonts w:hint="eastAsia"/>
        </w:rPr>
        <w:t>가지 내용을</w:t>
      </w:r>
      <w:r>
        <w:t xml:space="preserve"> 시행령·시행규칙에 </w:t>
      </w:r>
      <w:r>
        <w:rPr>
          <w:rFonts w:hint="eastAsia"/>
        </w:rPr>
        <w:t>포함시키</w:t>
      </w:r>
      <w:r w:rsidR="00BE42BB">
        <w:rPr>
          <w:rFonts w:hint="eastAsia"/>
        </w:rPr>
        <w:t>는</w:t>
      </w:r>
      <w:r>
        <w:t xml:space="preserve"> 것이 중요하다.</w:t>
      </w:r>
    </w:p>
    <w:p w14:paraId="6B7C2208" w14:textId="77777777" w:rsidR="00B463F5" w:rsidRDefault="00B463F5" w:rsidP="00B463F5"/>
    <w:p w14:paraId="14326CAB" w14:textId="77777777" w:rsidR="00B463F5" w:rsidRDefault="00B463F5" w:rsidP="00B463F5">
      <w:r>
        <w:rPr>
          <w:rFonts w:hint="eastAsia"/>
        </w:rPr>
        <w:t>. 설명의무</w:t>
      </w:r>
      <w:r>
        <w:t xml:space="preserve"> 기산점 예시: “의료사고 발생 사실을 안 날이란, 당시의 진료기록·검사결과·임상경과 및 통상적 의료수준에 비추어 해당 결과가 질병의 자연경과 또는 사전에 설명된 합병증이 아니라 의료행위</w:t>
      </w:r>
      <w:r>
        <w:rPr>
          <w:rFonts w:hint="eastAsia"/>
        </w:rPr>
        <w:t xml:space="preserve"> </w:t>
      </w:r>
      <w:r>
        <w:t>등과 상당한 관련이 있을 가능성을 합리적으로 인식한 때를 말한다.”</w:t>
      </w:r>
    </w:p>
    <w:p w14:paraId="6D7F94FD" w14:textId="77777777" w:rsidR="00B463F5" w:rsidRDefault="00B463F5" w:rsidP="00B463F5">
      <w:r>
        <w:rPr>
          <w:rFonts w:hint="eastAsia"/>
        </w:rPr>
        <w:t>. 전문위원회</w:t>
      </w:r>
      <w:r>
        <w:t xml:space="preserve"> 예시: “제51조에 따른 심의는 사건별 분야별 전문위원회의 사전 검토를 거쳐야 하며, 전문위원회 위원 3분의 2 이상은 해당 진료과목 또는 인접 세부전문과목 임상의로 한다.”</w:t>
      </w:r>
    </w:p>
    <w:p w14:paraId="5283A8F1" w14:textId="77777777" w:rsidR="00B463F5" w:rsidRDefault="00B463F5" w:rsidP="00B463F5">
      <w:r>
        <w:rPr>
          <w:rFonts w:hint="eastAsia"/>
        </w:rPr>
        <w:t>. 보험료</w:t>
      </w:r>
      <w:r>
        <w:t xml:space="preserve"> 지원 예시: “고위험 필수의료행위 관련 초과담보 책임보험의 보험료는 국가가 정한 </w:t>
      </w:r>
      <w:r>
        <w:rPr>
          <w:rFonts w:hint="eastAsia"/>
        </w:rPr>
        <w:t>공정한 계산방</w:t>
      </w:r>
      <w:r>
        <w:t xml:space="preserve">식에 따라 자동 지원하며, 전년도 대비 보험료 인상률이 일정 수준을 초과하는 경우 그 초과분은 </w:t>
      </w:r>
      <w:r>
        <w:rPr>
          <w:rFonts w:hint="eastAsia"/>
        </w:rPr>
        <w:t xml:space="preserve">국가의 </w:t>
      </w:r>
      <w:r>
        <w:t>우선 지원 대상으로 본다.”</w:t>
      </w:r>
    </w:p>
    <w:p w14:paraId="1FF50948" w14:textId="77777777" w:rsidR="00B463F5" w:rsidRDefault="00B463F5" w:rsidP="00B463F5"/>
    <w:p w14:paraId="1671DFEF" w14:textId="77777777" w:rsidR="00B463F5" w:rsidRDefault="00B463F5" w:rsidP="00B463F5"/>
    <w:p w14:paraId="29A87FF5" w14:textId="77777777" w:rsidR="00B463F5" w:rsidRDefault="00B463F5" w:rsidP="00B463F5">
      <w:r>
        <w:rPr>
          <w:rFonts w:hint="eastAsia"/>
        </w:rPr>
        <w:t>6. 결론</w:t>
      </w:r>
    </w:p>
    <w:p w14:paraId="4041B352" w14:textId="77777777" w:rsidR="00B463F5" w:rsidRDefault="00B463F5" w:rsidP="00B463F5"/>
    <w:p w14:paraId="3389180C" w14:textId="77777777" w:rsidR="00B463F5" w:rsidRDefault="00B463F5" w:rsidP="00B463F5">
      <w:r>
        <w:rPr>
          <w:rFonts w:hint="eastAsia"/>
        </w:rPr>
        <w:t xml:space="preserve">본 연구소가 생각하는 </w:t>
      </w:r>
      <w:r>
        <w:t xml:space="preserve">시행령 제정 과정에서 최우선으로 </w:t>
      </w:r>
      <w:r>
        <w:rPr>
          <w:rFonts w:hint="eastAsia"/>
        </w:rPr>
        <w:t>고려되어야</w:t>
      </w:r>
      <w:r>
        <w:t xml:space="preserve"> </w:t>
      </w:r>
      <w:r>
        <w:rPr>
          <w:rFonts w:hint="eastAsia"/>
        </w:rPr>
        <w:t>항목들은 다음과 같다</w:t>
      </w:r>
      <w:r>
        <w:t>. 첫째, 동일 전문과 중심의 전문위원회 선행 심사와 엄격한 의결 구조. 둘째, 중대한 과실의 제한해석 원칙. 셋째, 설명의무의 합리적 기산점</w:t>
      </w:r>
      <w:r>
        <w:rPr>
          <w:rFonts w:hint="eastAsia"/>
        </w:rPr>
        <w:t xml:space="preserve"> 설정</w:t>
      </w:r>
      <w:r>
        <w:t xml:space="preserve">과 단계적 설명 </w:t>
      </w:r>
      <w:r>
        <w:rPr>
          <w:rFonts w:hint="eastAsia"/>
        </w:rPr>
        <w:t>허용 구조</w:t>
      </w:r>
      <w:r>
        <w:t xml:space="preserve">. 넷째, 보험료 지원의 </w:t>
      </w:r>
      <w:r>
        <w:rPr>
          <w:rFonts w:hint="eastAsia"/>
        </w:rPr>
        <w:t>공정한 계산방식에 따른</w:t>
      </w:r>
      <w:r>
        <w:t xml:space="preserve"> 자동지원 기준. 이 네 가지가 확보되면 형사·민사·행정·보험 리스크의 급격한 폭증을 상당 부분 완충할 수 있</w:t>
      </w:r>
      <w:r>
        <w:rPr>
          <w:rFonts w:hint="eastAsia"/>
        </w:rPr>
        <w:t>을 것으로 생각한</w:t>
      </w:r>
      <w:r>
        <w:t>다.</w:t>
      </w:r>
    </w:p>
    <w:p w14:paraId="2D6C543C" w14:textId="77777777" w:rsidR="00B463F5" w:rsidRDefault="00B463F5" w:rsidP="00B463F5"/>
    <w:p w14:paraId="2FE84D67" w14:textId="77777777" w:rsidR="00B463F5" w:rsidRDefault="00B463F5" w:rsidP="00B463F5">
      <w:r>
        <w:rPr>
          <w:rFonts w:hint="eastAsia"/>
        </w:rPr>
        <w:t>그 다음으로는</w:t>
      </w:r>
      <w:r>
        <w:t xml:space="preserve"> 조력</w:t>
      </w:r>
      <w:r>
        <w:rPr>
          <w:rFonts w:hint="eastAsia"/>
        </w:rPr>
        <w:t xml:space="preserve"> </w:t>
      </w:r>
      <w:r>
        <w:t>제도의 대칭성, 재감정 문턱</w:t>
      </w:r>
      <w:r>
        <w:rPr>
          <w:rFonts w:hint="eastAsia"/>
        </w:rPr>
        <w:t xml:space="preserve"> 높이기</w:t>
      </w:r>
      <w:r>
        <w:t xml:space="preserve">, 공개 범위 축소, 그리고 </w:t>
      </w:r>
      <w:r>
        <w:rPr>
          <w:rFonts w:hint="eastAsia"/>
        </w:rPr>
        <w:t xml:space="preserve">심의위원회 내 </w:t>
      </w:r>
      <w:r>
        <w:t>3개</w:t>
      </w:r>
      <w:r>
        <w:rPr>
          <w:rFonts w:hint="eastAsia"/>
        </w:rPr>
        <w:t>의</w:t>
      </w:r>
      <w:r>
        <w:t xml:space="preserve"> 공무원</w:t>
      </w:r>
      <w:r>
        <w:rPr>
          <w:rFonts w:hint="eastAsia"/>
        </w:rPr>
        <w:t>석 참여</w:t>
      </w:r>
      <w:r>
        <w:t xml:space="preserve"> 기관 제한이다. 이는 제도를 멈추지는 못하더라도, 조정절차가 ‘환자측 법률대리 전초기지’가 되거나, 심의위원회가 ‘의학적 맥락 없는 예비판단 기구’로 변질되는 것을 막는 데 </w:t>
      </w:r>
      <w:r>
        <w:rPr>
          <w:rFonts w:hint="eastAsia"/>
        </w:rPr>
        <w:t>어느정도</w:t>
      </w:r>
      <w:r>
        <w:t xml:space="preserve"> 효과가 있</w:t>
      </w:r>
      <w:r>
        <w:rPr>
          <w:rFonts w:hint="eastAsia"/>
        </w:rPr>
        <w:t>을 것으로 생각된</w:t>
      </w:r>
      <w:r>
        <w:t>다. 현재 환자대변인형 조력제도가 이미 변호사 중심으로 운용되</w:t>
      </w:r>
      <w:r>
        <w:rPr>
          <w:rFonts w:hint="eastAsia"/>
        </w:rPr>
        <w:t>면서 사실상 소송으로의 연결고리가 되</w:t>
      </w:r>
      <w:r>
        <w:t>고 있다는 점을 감안</w:t>
      </w:r>
      <w:r>
        <w:rPr>
          <w:rFonts w:hint="eastAsia"/>
        </w:rPr>
        <w:t>했을 때</w:t>
      </w:r>
      <w:r>
        <w:t xml:space="preserve">, </w:t>
      </w:r>
      <w:r>
        <w:rPr>
          <w:rFonts w:hint="eastAsia"/>
        </w:rPr>
        <w:t>불필요한 분쟁과 소송을 막기 위해 개정된 법안의 목적을 달성하기 위해서는 이러한 조치가 반드시 필요하다</w:t>
      </w:r>
      <w:r>
        <w:t>.</w:t>
      </w:r>
    </w:p>
    <w:p w14:paraId="7DEE2675" w14:textId="77777777" w:rsidR="00B463F5" w:rsidRDefault="00B463F5" w:rsidP="00B463F5"/>
    <w:p w14:paraId="34463FA1" w14:textId="77777777" w:rsidR="00B463F5" w:rsidRDefault="00B463F5" w:rsidP="00B463F5">
      <w:r>
        <w:rPr>
          <w:rFonts w:hint="eastAsia"/>
        </w:rPr>
        <w:t>마지막으로</w:t>
      </w:r>
      <w:r>
        <w:t xml:space="preserve"> 냉정하게 </w:t>
      </w:r>
      <w:r>
        <w:rPr>
          <w:rFonts w:hint="eastAsia"/>
        </w:rPr>
        <w:t>판단하면</w:t>
      </w:r>
      <w:r>
        <w:t>, 시행령</w:t>
      </w:r>
      <w:r>
        <w:rPr>
          <w:rFonts w:hint="eastAsia"/>
        </w:rPr>
        <w:t xml:space="preserve"> 조정</w:t>
      </w:r>
      <w:r>
        <w:t xml:space="preserve">만으로는 </w:t>
      </w:r>
      <w:r>
        <w:rPr>
          <w:rFonts w:hint="eastAsia"/>
        </w:rPr>
        <w:t xml:space="preserve">이 법안이 실효성을 달성하기에는 </w:t>
      </w:r>
      <w:r>
        <w:t>한계가 분명하다. 심의위원회의 법정 구성 비율, 12개 중대한 과실의 입법 형식, 자동개시 확대의 기본 골격, 전액배상과 공소제한을 연결한 구조</w:t>
      </w:r>
      <w:r>
        <w:rPr>
          <w:rFonts w:hint="eastAsia"/>
        </w:rPr>
        <w:t>로 인한 위헌 가능성 등은</w:t>
      </w:r>
      <w:r>
        <w:t xml:space="preserve"> 결국 후속 법률개정</w:t>
      </w:r>
      <w:r>
        <w:rPr>
          <w:rFonts w:hint="eastAsia"/>
        </w:rPr>
        <w:t>으로 해결해야 할</w:t>
      </w:r>
      <w:r>
        <w:t xml:space="preserve"> 과제</w:t>
      </w:r>
      <w:r>
        <w:rPr>
          <w:rFonts w:hint="eastAsia"/>
        </w:rPr>
        <w:t>이</w:t>
      </w:r>
      <w:r>
        <w:t xml:space="preserve">다. 따라서 시행령 </w:t>
      </w:r>
      <w:r>
        <w:rPr>
          <w:rFonts w:hint="eastAsia"/>
        </w:rPr>
        <w:t>제정을 통해 얻을 수 있는 최선의</w:t>
      </w:r>
      <w:r>
        <w:t xml:space="preserve"> 목표는 “완전한 해결”이 아니라 “피해 최소화와 향후 재개정의 교두보 확보”로 </w:t>
      </w:r>
      <w:r>
        <w:rPr>
          <w:rFonts w:hint="eastAsia"/>
        </w:rPr>
        <w:t>생각해</w:t>
      </w:r>
      <w:r>
        <w:t>야 한다. 중장기적으로는 대만식 과실기준 정교화와, 뉴질랜드·덴마크·스웨덴·프랑스식 무과실 공적보상 분리 모델을 참고해, 형사책임</w:t>
      </w:r>
      <w:r>
        <w:rPr>
          <w:rFonts w:hint="eastAsia"/>
        </w:rPr>
        <w:t>·민사책임·보상제도를</w:t>
      </w:r>
      <w:r>
        <w:t xml:space="preserve"> 분리하는 재입법이 </w:t>
      </w:r>
      <w:r>
        <w:rPr>
          <w:rFonts w:hint="eastAsia"/>
        </w:rPr>
        <w:t xml:space="preserve">반드시 </w:t>
      </w:r>
      <w:r>
        <w:t>필요</w:t>
      </w:r>
      <w:r>
        <w:rPr>
          <w:rFonts w:hint="eastAsia"/>
        </w:rPr>
        <w:t>할 것으로 사료된</w:t>
      </w:r>
      <w:r>
        <w:t>다.</w:t>
      </w:r>
    </w:p>
    <w:p w14:paraId="336CB289" w14:textId="6C09F521" w:rsidR="00CC50F3" w:rsidRPr="00B463F5" w:rsidRDefault="00CC50F3" w:rsidP="00ED3063">
      <w:pPr>
        <w:widowControl/>
        <w:wordWrap/>
        <w:autoSpaceDE/>
        <w:autoSpaceDN/>
        <w:jc w:val="center"/>
        <w:outlineLvl w:val="0"/>
        <w:rPr>
          <w:rFonts w:asciiTheme="minorEastAsia" w:hAnsiTheme="minorEastAsia" w:cs="굴림"/>
          <w:kern w:val="0"/>
          <w:sz w:val="28"/>
          <w:szCs w:val="28"/>
        </w:rPr>
      </w:pPr>
    </w:p>
    <w:p w14:paraId="550DD824" w14:textId="0F29BF50" w:rsidR="00CC50F3" w:rsidRPr="00EF1C74" w:rsidRDefault="00CC50F3" w:rsidP="00CC50F3">
      <w:pPr>
        <w:widowControl/>
        <w:wordWrap/>
        <w:autoSpaceDE/>
        <w:autoSpaceDN/>
        <w:jc w:val="center"/>
        <w:outlineLvl w:val="0"/>
        <w:rPr>
          <w:rFonts w:asciiTheme="minorEastAsia" w:hAnsiTheme="minorEastAsia" w:cs="굴림"/>
          <w:kern w:val="0"/>
          <w:sz w:val="28"/>
          <w:szCs w:val="28"/>
        </w:rPr>
      </w:pPr>
    </w:p>
    <w:p w14:paraId="0AEA3782" w14:textId="77777777" w:rsidR="00034388" w:rsidRPr="00EF1C74" w:rsidRDefault="00034388" w:rsidP="00CC50F3">
      <w:pPr>
        <w:widowControl/>
        <w:wordWrap/>
        <w:autoSpaceDE/>
        <w:autoSpaceDN/>
        <w:jc w:val="center"/>
        <w:rPr>
          <w:rFonts w:asciiTheme="majorHAnsi" w:eastAsiaTheme="majorHAnsi" w:hAnsiTheme="majorHAnsi"/>
          <w:b/>
          <w:sz w:val="28"/>
          <w:szCs w:val="28"/>
        </w:rPr>
      </w:pPr>
    </w:p>
    <w:p w14:paraId="2D163C7E" w14:textId="16A6D2E6" w:rsidR="00034388" w:rsidRPr="000E6694" w:rsidRDefault="00034388" w:rsidP="00034388">
      <w:pPr>
        <w:widowControl/>
        <w:wordWrap/>
        <w:autoSpaceDE/>
        <w:autoSpaceDN/>
        <w:jc w:val="center"/>
        <w:rPr>
          <w:rFonts w:asciiTheme="majorHAnsi" w:eastAsiaTheme="majorHAnsi" w:hAnsiTheme="majorHAnsi"/>
          <w:b/>
          <w:sz w:val="28"/>
          <w:szCs w:val="28"/>
        </w:rPr>
      </w:pPr>
      <w:r w:rsidRPr="000E6694">
        <w:rPr>
          <w:rFonts w:asciiTheme="majorHAnsi" w:eastAsiaTheme="majorHAnsi" w:hAnsiTheme="majorHAnsi" w:hint="eastAsia"/>
          <w:b/>
          <w:sz w:val="28"/>
          <w:szCs w:val="28"/>
        </w:rPr>
        <w:t>20</w:t>
      </w:r>
      <w:r w:rsidRPr="000E6694">
        <w:rPr>
          <w:rFonts w:asciiTheme="majorHAnsi" w:eastAsiaTheme="majorHAnsi" w:hAnsiTheme="majorHAnsi"/>
          <w:b/>
          <w:sz w:val="28"/>
          <w:szCs w:val="28"/>
        </w:rPr>
        <w:t>2</w:t>
      </w:r>
      <w:r w:rsidR="00ED3063">
        <w:rPr>
          <w:rFonts w:asciiTheme="majorHAnsi" w:eastAsiaTheme="majorHAnsi" w:hAnsiTheme="majorHAnsi" w:hint="eastAsia"/>
          <w:b/>
          <w:sz w:val="28"/>
          <w:szCs w:val="28"/>
        </w:rPr>
        <w:t>6</w:t>
      </w:r>
      <w:r w:rsidRPr="000E6694">
        <w:rPr>
          <w:rFonts w:asciiTheme="majorHAnsi" w:eastAsiaTheme="majorHAnsi" w:hAnsiTheme="majorHAnsi" w:hint="eastAsia"/>
          <w:b/>
          <w:sz w:val="28"/>
          <w:szCs w:val="28"/>
        </w:rPr>
        <w:t xml:space="preserve">년 </w:t>
      </w:r>
      <w:r w:rsidR="00436383">
        <w:rPr>
          <w:rFonts w:asciiTheme="majorHAnsi" w:eastAsiaTheme="majorHAnsi" w:hAnsiTheme="majorHAnsi"/>
          <w:b/>
          <w:sz w:val="28"/>
          <w:szCs w:val="28"/>
        </w:rPr>
        <w:t>4</w:t>
      </w:r>
      <w:r w:rsidRPr="000E6694">
        <w:rPr>
          <w:rFonts w:asciiTheme="majorHAnsi" w:eastAsiaTheme="majorHAnsi" w:hAnsiTheme="majorHAnsi" w:hint="eastAsia"/>
          <w:b/>
          <w:sz w:val="28"/>
          <w:szCs w:val="28"/>
        </w:rPr>
        <w:t xml:space="preserve">월 </w:t>
      </w:r>
      <w:r w:rsidR="00217486">
        <w:rPr>
          <w:rFonts w:asciiTheme="majorHAnsi" w:eastAsiaTheme="majorHAnsi" w:hAnsiTheme="majorHAnsi"/>
          <w:b/>
          <w:sz w:val="28"/>
          <w:szCs w:val="28"/>
        </w:rPr>
        <w:t>2</w:t>
      </w:r>
      <w:r w:rsidR="00621909">
        <w:rPr>
          <w:rFonts w:asciiTheme="majorHAnsi" w:eastAsiaTheme="majorHAnsi" w:hAnsiTheme="majorHAnsi"/>
          <w:b/>
          <w:sz w:val="28"/>
          <w:szCs w:val="28"/>
        </w:rPr>
        <w:t>7</w:t>
      </w:r>
      <w:r w:rsidRPr="000E6694">
        <w:rPr>
          <w:rFonts w:asciiTheme="majorHAnsi" w:eastAsiaTheme="majorHAnsi" w:hAnsiTheme="majorHAnsi" w:hint="eastAsia"/>
          <w:b/>
          <w:sz w:val="28"/>
          <w:szCs w:val="28"/>
        </w:rPr>
        <w:t>일</w:t>
      </w:r>
    </w:p>
    <w:p w14:paraId="491B825E"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b/>
          <w:bCs/>
          <w:color w:val="000000"/>
          <w:sz w:val="28"/>
          <w:szCs w:val="28"/>
        </w:rPr>
      </w:pPr>
    </w:p>
    <w:p w14:paraId="3F652CC3"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r w:rsidRPr="000E6694">
        <w:rPr>
          <w:rFonts w:asciiTheme="majorHAnsi" w:eastAsiaTheme="majorHAnsi" w:hAnsiTheme="majorHAnsi" w:cs="Arial"/>
          <w:b/>
          <w:bCs/>
          <w:color w:val="000000"/>
          <w:sz w:val="28"/>
          <w:szCs w:val="28"/>
        </w:rPr>
        <w:t>바 른 의 료 연 구 소</w:t>
      </w:r>
    </w:p>
    <w:p w14:paraId="2772FBCC"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p>
    <w:p w14:paraId="7501645C" w14:textId="01C53EB3" w:rsidR="00FB5103" w:rsidRPr="00C272A2" w:rsidRDefault="001003F2" w:rsidP="00C272A2">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hyperlink r:id="rId7" w:history="1">
        <w:r w:rsidR="00034388" w:rsidRPr="000E6694">
          <w:rPr>
            <w:rStyle w:val="a8"/>
            <w:rFonts w:asciiTheme="majorHAnsi" w:eastAsiaTheme="majorHAnsi" w:hAnsiTheme="majorHAnsi" w:cs="Arial"/>
            <w:b/>
            <w:bCs/>
            <w:sz w:val="28"/>
            <w:szCs w:val="28"/>
          </w:rPr>
          <w:t>http://barunmd.or.kr/</w:t>
        </w:r>
      </w:hyperlink>
    </w:p>
    <w:sectPr w:rsidR="00FB5103" w:rsidRPr="00C272A2" w:rsidSect="0021467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E7AE" w14:textId="77777777" w:rsidR="001003F2" w:rsidRDefault="001003F2" w:rsidP="00971A3D">
      <w:r>
        <w:separator/>
      </w:r>
    </w:p>
  </w:endnote>
  <w:endnote w:type="continuationSeparator" w:id="0">
    <w:p w14:paraId="123282C1" w14:textId="77777777" w:rsidR="001003F2" w:rsidRDefault="001003F2" w:rsidP="0097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D5227" w14:textId="77777777" w:rsidR="001003F2" w:rsidRDefault="001003F2" w:rsidP="00971A3D">
      <w:r>
        <w:separator/>
      </w:r>
    </w:p>
  </w:footnote>
  <w:footnote w:type="continuationSeparator" w:id="0">
    <w:p w14:paraId="106FDEB5" w14:textId="77777777" w:rsidR="001003F2" w:rsidRDefault="001003F2" w:rsidP="00971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1E"/>
    <w:rsid w:val="00004823"/>
    <w:rsid w:val="00034388"/>
    <w:rsid w:val="00086F37"/>
    <w:rsid w:val="000B0B5B"/>
    <w:rsid w:val="000D6AB4"/>
    <w:rsid w:val="000F34FC"/>
    <w:rsid w:val="001003F2"/>
    <w:rsid w:val="001248AA"/>
    <w:rsid w:val="00173EE7"/>
    <w:rsid w:val="0019206E"/>
    <w:rsid w:val="001A487C"/>
    <w:rsid w:val="001C7C95"/>
    <w:rsid w:val="001F28DE"/>
    <w:rsid w:val="001F2FD2"/>
    <w:rsid w:val="0020144A"/>
    <w:rsid w:val="0021467B"/>
    <w:rsid w:val="00217486"/>
    <w:rsid w:val="00230E80"/>
    <w:rsid w:val="0028237E"/>
    <w:rsid w:val="002854B7"/>
    <w:rsid w:val="002D441E"/>
    <w:rsid w:val="002F0152"/>
    <w:rsid w:val="00306BE3"/>
    <w:rsid w:val="00324D29"/>
    <w:rsid w:val="003324D6"/>
    <w:rsid w:val="003557D6"/>
    <w:rsid w:val="003560CB"/>
    <w:rsid w:val="00371FA7"/>
    <w:rsid w:val="00372538"/>
    <w:rsid w:val="00380B31"/>
    <w:rsid w:val="00386C2B"/>
    <w:rsid w:val="003C5266"/>
    <w:rsid w:val="004062D8"/>
    <w:rsid w:val="00436383"/>
    <w:rsid w:val="00443CCB"/>
    <w:rsid w:val="004E48B7"/>
    <w:rsid w:val="00536014"/>
    <w:rsid w:val="005422E0"/>
    <w:rsid w:val="00564160"/>
    <w:rsid w:val="00584AA4"/>
    <w:rsid w:val="005B0FD5"/>
    <w:rsid w:val="005E1F5C"/>
    <w:rsid w:val="005F0F58"/>
    <w:rsid w:val="005F1442"/>
    <w:rsid w:val="00621909"/>
    <w:rsid w:val="006573FE"/>
    <w:rsid w:val="006643BF"/>
    <w:rsid w:val="00675A85"/>
    <w:rsid w:val="006A0F55"/>
    <w:rsid w:val="006B0204"/>
    <w:rsid w:val="006B4AD4"/>
    <w:rsid w:val="006C2F2B"/>
    <w:rsid w:val="00746A5D"/>
    <w:rsid w:val="00754331"/>
    <w:rsid w:val="0076163E"/>
    <w:rsid w:val="00795A56"/>
    <w:rsid w:val="007E5334"/>
    <w:rsid w:val="007F68D7"/>
    <w:rsid w:val="00862071"/>
    <w:rsid w:val="008638CB"/>
    <w:rsid w:val="00895D0D"/>
    <w:rsid w:val="008C7CBD"/>
    <w:rsid w:val="008F2634"/>
    <w:rsid w:val="008F6462"/>
    <w:rsid w:val="009000BA"/>
    <w:rsid w:val="0091383F"/>
    <w:rsid w:val="00971A3D"/>
    <w:rsid w:val="00984277"/>
    <w:rsid w:val="009B3E8F"/>
    <w:rsid w:val="009F0FFF"/>
    <w:rsid w:val="00A70A01"/>
    <w:rsid w:val="00A9303C"/>
    <w:rsid w:val="00AA7F0E"/>
    <w:rsid w:val="00AB518F"/>
    <w:rsid w:val="00B157AF"/>
    <w:rsid w:val="00B25ABD"/>
    <w:rsid w:val="00B463F5"/>
    <w:rsid w:val="00B7611D"/>
    <w:rsid w:val="00BE2527"/>
    <w:rsid w:val="00BE42BB"/>
    <w:rsid w:val="00BF1F98"/>
    <w:rsid w:val="00C231AA"/>
    <w:rsid w:val="00C272A2"/>
    <w:rsid w:val="00C32040"/>
    <w:rsid w:val="00C70BAB"/>
    <w:rsid w:val="00CB6EBE"/>
    <w:rsid w:val="00CC50F3"/>
    <w:rsid w:val="00CC5455"/>
    <w:rsid w:val="00D60AC4"/>
    <w:rsid w:val="00D96BF2"/>
    <w:rsid w:val="00DB16E6"/>
    <w:rsid w:val="00DC61BB"/>
    <w:rsid w:val="00DD1A8B"/>
    <w:rsid w:val="00DE62EF"/>
    <w:rsid w:val="00DF4760"/>
    <w:rsid w:val="00E14DF8"/>
    <w:rsid w:val="00E834D0"/>
    <w:rsid w:val="00EB63DD"/>
    <w:rsid w:val="00EB6BDE"/>
    <w:rsid w:val="00ED3063"/>
    <w:rsid w:val="00EF1C74"/>
    <w:rsid w:val="00FB5103"/>
    <w:rsid w:val="00FD62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87F84"/>
  <w15:docId w15:val="{D4FF30B0-DBC0-47A0-BDCA-B2AAD19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67B"/>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6AB4"/>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0D6AB4"/>
    <w:rPr>
      <w:rFonts w:asciiTheme="majorHAnsi" w:eastAsiaTheme="majorEastAsia" w:hAnsiTheme="majorHAnsi" w:cstheme="majorBidi"/>
      <w:sz w:val="18"/>
      <w:szCs w:val="18"/>
    </w:rPr>
  </w:style>
  <w:style w:type="character" w:styleId="a4">
    <w:name w:val="Emphasis"/>
    <w:basedOn w:val="a0"/>
    <w:uiPriority w:val="20"/>
    <w:qFormat/>
    <w:rsid w:val="00E834D0"/>
    <w:rPr>
      <w:b/>
      <w:bCs/>
      <w:i w:val="0"/>
      <w:iCs w:val="0"/>
    </w:rPr>
  </w:style>
  <w:style w:type="character" w:customStyle="1" w:styleId="st1">
    <w:name w:val="st1"/>
    <w:basedOn w:val="a0"/>
    <w:rsid w:val="00E834D0"/>
  </w:style>
  <w:style w:type="paragraph" w:styleId="a5">
    <w:name w:val="header"/>
    <w:basedOn w:val="a"/>
    <w:link w:val="Char0"/>
    <w:uiPriority w:val="99"/>
    <w:unhideWhenUsed/>
    <w:rsid w:val="00971A3D"/>
    <w:pPr>
      <w:tabs>
        <w:tab w:val="center" w:pos="4513"/>
        <w:tab w:val="right" w:pos="9026"/>
      </w:tabs>
      <w:snapToGrid w:val="0"/>
    </w:pPr>
  </w:style>
  <w:style w:type="character" w:customStyle="1" w:styleId="Char0">
    <w:name w:val="머리글 Char"/>
    <w:basedOn w:val="a0"/>
    <w:link w:val="a5"/>
    <w:uiPriority w:val="99"/>
    <w:rsid w:val="00971A3D"/>
  </w:style>
  <w:style w:type="paragraph" w:styleId="a6">
    <w:name w:val="footer"/>
    <w:basedOn w:val="a"/>
    <w:link w:val="Char1"/>
    <w:uiPriority w:val="99"/>
    <w:unhideWhenUsed/>
    <w:rsid w:val="00971A3D"/>
    <w:pPr>
      <w:tabs>
        <w:tab w:val="center" w:pos="4513"/>
        <w:tab w:val="right" w:pos="9026"/>
      </w:tabs>
      <w:snapToGrid w:val="0"/>
    </w:pPr>
  </w:style>
  <w:style w:type="character" w:customStyle="1" w:styleId="Char1">
    <w:name w:val="바닥글 Char"/>
    <w:basedOn w:val="a0"/>
    <w:link w:val="a6"/>
    <w:uiPriority w:val="99"/>
    <w:rsid w:val="00971A3D"/>
  </w:style>
  <w:style w:type="table" w:styleId="a7">
    <w:name w:val="Table Grid"/>
    <w:basedOn w:val="a1"/>
    <w:uiPriority w:val="59"/>
    <w:rsid w:val="00FB51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rsid w:val="00DF4760"/>
    <w:rPr>
      <w:color w:val="0000FF"/>
      <w:u w:val="single"/>
    </w:rPr>
  </w:style>
  <w:style w:type="paragraph" w:styleId="a9">
    <w:name w:val="Normal (Web)"/>
    <w:basedOn w:val="a"/>
    <w:uiPriority w:val="99"/>
    <w:unhideWhenUsed/>
    <w:rsid w:val="00034388"/>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runmd.or.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1596</Words>
  <Characters>9101</Characters>
  <Application>Microsoft Office Word</Application>
  <DocSecurity>0</DocSecurity>
  <Lines>75</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김수현</dc:creator>
  <cp:lastModifiedBy>바른의료연구소</cp:lastModifiedBy>
  <cp:revision>4</cp:revision>
  <dcterms:created xsi:type="dcterms:W3CDTF">2026-04-27T00:27:00Z</dcterms:created>
  <dcterms:modified xsi:type="dcterms:W3CDTF">2026-04-27T00:38:00Z</dcterms:modified>
</cp:coreProperties>
</file>