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5923EE84"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984277">
              <w:rPr>
                <w:rFonts w:eastAsiaTheme="minorHAnsi" w:hint="eastAsia"/>
                <w:szCs w:val="20"/>
              </w:rPr>
              <w:t>6</w:t>
            </w:r>
            <w:r w:rsidRPr="005F3B0D">
              <w:rPr>
                <w:rFonts w:eastAsiaTheme="minorHAnsi" w:hint="eastAsia"/>
                <w:szCs w:val="20"/>
              </w:rPr>
              <w:t>년</w:t>
            </w:r>
            <w:r>
              <w:rPr>
                <w:rFonts w:eastAsiaTheme="minorHAnsi" w:hint="eastAsia"/>
                <w:szCs w:val="20"/>
              </w:rPr>
              <w:t xml:space="preserve"> </w:t>
            </w:r>
            <w:r w:rsidR="00357362">
              <w:rPr>
                <w:rFonts w:eastAsiaTheme="minorHAnsi"/>
                <w:szCs w:val="20"/>
              </w:rPr>
              <w:t>6</w:t>
            </w:r>
            <w:r w:rsidRPr="005F3B0D">
              <w:rPr>
                <w:rFonts w:eastAsiaTheme="minorHAnsi" w:hint="eastAsia"/>
                <w:szCs w:val="20"/>
              </w:rPr>
              <w:t xml:space="preserve">월 </w:t>
            </w:r>
            <w:r w:rsidR="00357362">
              <w:rPr>
                <w:rFonts w:eastAsiaTheme="minorHAnsi"/>
                <w:szCs w:val="20"/>
              </w:rPr>
              <w:t>18</w:t>
            </w:r>
            <w:r w:rsidRPr="005F3B0D">
              <w:rPr>
                <w:rFonts w:eastAsiaTheme="minorHAnsi" w:hint="eastAsia"/>
                <w:szCs w:val="20"/>
              </w:rPr>
              <w:t>일(</w:t>
            </w:r>
            <w:r w:rsidR="00357362">
              <w:rPr>
                <w:rFonts w:eastAsiaTheme="minorHAnsi" w:hint="eastAsia"/>
                <w:szCs w:val="20"/>
              </w:rPr>
              <w:t>목</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 xml:space="preserve">보도요청 시간을 </w:t>
            </w:r>
            <w:proofErr w:type="spellStart"/>
            <w:r w:rsidRPr="005F3B0D">
              <w:rPr>
                <w:rFonts w:eastAsiaTheme="minorHAnsi" w:cs="바탕" w:hint="eastAsia"/>
                <w:b/>
                <w:color w:val="000000" w:themeColor="text1"/>
                <w:szCs w:val="20"/>
              </w:rPr>
              <w:t>지켜주실</w:t>
            </w:r>
            <w:proofErr w:type="spellEnd"/>
            <w:r w:rsidRPr="005F3B0D">
              <w:rPr>
                <w:rFonts w:eastAsiaTheme="minorHAnsi" w:cs="바탕" w:hint="eastAsia"/>
                <w:b/>
                <w:color w:val="000000" w:themeColor="text1"/>
                <w:szCs w:val="20"/>
              </w:rPr>
              <w:t xml:space="preserve">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378B1A60" w14:textId="21B0AC4C" w:rsidR="00CC50F3" w:rsidRDefault="00CC50F3" w:rsidP="00EF1C74">
      <w:pPr>
        <w:widowControl/>
        <w:wordWrap/>
        <w:autoSpaceDE/>
        <w:autoSpaceDN/>
        <w:jc w:val="center"/>
        <w:outlineLvl w:val="0"/>
        <w:rPr>
          <w:rFonts w:asciiTheme="minorEastAsia" w:hAnsiTheme="minorEastAsia" w:cs="굴림"/>
          <w:b/>
          <w:bCs/>
          <w:kern w:val="0"/>
          <w:sz w:val="28"/>
          <w:szCs w:val="28"/>
        </w:rPr>
      </w:pPr>
      <w:r>
        <w:rPr>
          <w:rFonts w:asciiTheme="minorEastAsia" w:hAnsiTheme="minorEastAsia" w:cs="굴림" w:hint="eastAsia"/>
          <w:b/>
          <w:bCs/>
          <w:kern w:val="0"/>
          <w:sz w:val="28"/>
          <w:szCs w:val="28"/>
        </w:rPr>
        <w:t>[바른</w:t>
      </w:r>
      <w:r w:rsidRPr="00E45256">
        <w:rPr>
          <w:rFonts w:asciiTheme="minorEastAsia" w:hAnsiTheme="minorEastAsia" w:cs="굴림" w:hint="eastAsia"/>
          <w:b/>
          <w:bCs/>
          <w:kern w:val="0"/>
          <w:sz w:val="28"/>
          <w:szCs w:val="28"/>
        </w:rPr>
        <w:t xml:space="preserve">의료연구소 </w:t>
      </w:r>
      <w:r w:rsidR="00357362">
        <w:rPr>
          <w:rFonts w:asciiTheme="minorEastAsia" w:hAnsiTheme="minorEastAsia" w:cs="굴림" w:hint="eastAsia"/>
          <w:b/>
          <w:bCs/>
          <w:kern w:val="0"/>
          <w:sz w:val="28"/>
          <w:szCs w:val="28"/>
        </w:rPr>
        <w:t>성명서</w:t>
      </w:r>
      <w:r>
        <w:rPr>
          <w:rFonts w:asciiTheme="minorEastAsia" w:hAnsiTheme="minorEastAsia" w:cs="굴림"/>
          <w:b/>
          <w:bCs/>
          <w:kern w:val="0"/>
          <w:sz w:val="28"/>
          <w:szCs w:val="28"/>
        </w:rPr>
        <w:t>]</w:t>
      </w:r>
    </w:p>
    <w:p w14:paraId="67A4344B" w14:textId="77777777" w:rsidR="00357362" w:rsidRPr="00357362" w:rsidRDefault="00357362" w:rsidP="00357362">
      <w:pPr>
        <w:widowControl/>
        <w:wordWrap/>
        <w:autoSpaceDE/>
        <w:autoSpaceDN/>
        <w:outlineLvl w:val="0"/>
        <w:rPr>
          <w:rFonts w:asciiTheme="minorEastAsia" w:hAnsiTheme="minorEastAsia" w:cs="굴림"/>
          <w:b/>
          <w:bCs/>
          <w:kern w:val="0"/>
          <w:sz w:val="28"/>
          <w:szCs w:val="28"/>
        </w:rPr>
      </w:pPr>
      <w:r w:rsidRPr="00357362">
        <w:rPr>
          <w:rFonts w:asciiTheme="minorEastAsia" w:hAnsiTheme="minorEastAsia" w:cs="굴림" w:hint="eastAsia"/>
          <w:b/>
          <w:bCs/>
          <w:kern w:val="0"/>
          <w:sz w:val="28"/>
          <w:szCs w:val="28"/>
        </w:rPr>
        <w:t>예고된</w:t>
      </w:r>
      <w:r w:rsidRPr="00357362">
        <w:rPr>
          <w:rFonts w:asciiTheme="minorEastAsia" w:hAnsiTheme="minorEastAsia" w:cs="굴림"/>
          <w:b/>
          <w:bCs/>
          <w:kern w:val="0"/>
          <w:sz w:val="28"/>
          <w:szCs w:val="28"/>
        </w:rPr>
        <w:t xml:space="preserve"> 건강보험 재정 붕괴 위기는 외면하고, 탈모 치료 급여화와 같은 포퓰리즘 정책만 남발하는 무책임한 정부의 행보를 규탄한다.</w:t>
      </w:r>
    </w:p>
    <w:p w14:paraId="2FA9DED5" w14:textId="77777777" w:rsidR="00CC50F3" w:rsidRPr="00357362" w:rsidRDefault="00CC50F3" w:rsidP="00CC50F3">
      <w:pPr>
        <w:widowControl/>
        <w:wordWrap/>
        <w:autoSpaceDE/>
        <w:autoSpaceDN/>
        <w:outlineLvl w:val="0"/>
        <w:rPr>
          <w:rFonts w:asciiTheme="minorEastAsia" w:hAnsiTheme="minorEastAsia" w:cs="굴림"/>
          <w:b/>
          <w:bCs/>
          <w:kern w:val="0"/>
          <w:szCs w:val="20"/>
        </w:rPr>
      </w:pPr>
    </w:p>
    <w:p w14:paraId="2A4C2AB7" w14:textId="77777777" w:rsidR="00357362" w:rsidRDefault="00357362" w:rsidP="00357362">
      <w:r>
        <w:rPr>
          <w:rFonts w:hint="eastAsia"/>
        </w:rPr>
        <w:t>지난</w:t>
      </w:r>
      <w:r>
        <w:t xml:space="preserve"> 6월 11일 국회예산정책처는 현재 정부가 추진하고 있는 의료개혁 실행방안에 따른 건강보험 재정투자를 반영하면 내년 건강보험 재정 적자 폭은 5조 2000억원으로 더 커지고 누적준비금 소진 시점은 2029년으로 기존의 계산보다 2년 더 빨라지게 될 것이라고 밝혔다.</w:t>
      </w:r>
      <w:r>
        <w:rPr>
          <w:rFonts w:hint="eastAsia"/>
        </w:rPr>
        <w:t xml:space="preserve"> 또한</w:t>
      </w:r>
      <w:r>
        <w:t xml:space="preserve"> 국회예산정책처는 대한민국 건강보험 재정은 보험료 수입에만 지나치게 의존하고 있어 장기적으로 안정성에 문제가 있고, 보험료 수입을 보완해 온 담배부담금 재원이 구조적으로 축소되고 있기 때문에 새로운 재원 발굴이 필요하다고 조언했다.</w:t>
      </w:r>
    </w:p>
    <w:p w14:paraId="470F664D" w14:textId="77777777" w:rsidR="00357362" w:rsidRDefault="00357362" w:rsidP="00357362"/>
    <w:p w14:paraId="34D47E2D" w14:textId="77777777" w:rsidR="00357362" w:rsidRDefault="00357362" w:rsidP="00357362">
      <w:r>
        <w:t>실제로 현재 대한민국은 보험료 수입이 건강보험 재정 수입의 84.7%를 차지하고 있는데 반해, 일본(42%), 대만(65%), 프랑스(36.7%) 등 해외 선진국</w:t>
      </w:r>
      <w:r>
        <w:rPr>
          <w:rFonts w:hint="eastAsia"/>
        </w:rPr>
        <w:t xml:space="preserve"> </w:t>
      </w:r>
      <w:r>
        <w:t xml:space="preserve">등은 보험료 수입 비중이 상대적으로 낮다. 게다가 </w:t>
      </w:r>
      <w:r>
        <w:rPr>
          <w:rFonts w:hint="eastAsia"/>
        </w:rPr>
        <w:t xml:space="preserve">국회예산정책처는 </w:t>
      </w:r>
      <w:r>
        <w:t>정부지원금의 법정 지원 수준이 실질적으로 이행되지 않고 있는 것도 문제로 지적하며, 정부의 책임을 강조했다.</w:t>
      </w:r>
    </w:p>
    <w:p w14:paraId="56F954E5" w14:textId="77777777" w:rsidR="00357362" w:rsidRDefault="00357362" w:rsidP="00357362"/>
    <w:p w14:paraId="363AB926" w14:textId="40F0BBCC" w:rsidR="00357362" w:rsidRDefault="00357362" w:rsidP="00357362">
      <w:r>
        <w:rPr>
          <w:rFonts w:hint="eastAsia"/>
        </w:rPr>
        <w:t>이미</w:t>
      </w:r>
      <w:r>
        <w:t xml:space="preserve"> 수 년</w:t>
      </w:r>
      <w:r>
        <w:rPr>
          <w:rFonts w:hint="eastAsia"/>
        </w:rPr>
        <w:t xml:space="preserve"> </w:t>
      </w:r>
      <w:r>
        <w:t xml:space="preserve">전부터 건강보험 재정의 고갈과 건강보험 중심의 의료 시스템 붕괴를 경고하는 목소리가 </w:t>
      </w:r>
      <w:proofErr w:type="spellStart"/>
      <w:r>
        <w:t>의료계뿐만</w:t>
      </w:r>
      <w:proofErr w:type="spellEnd"/>
      <w:r>
        <w:t xml:space="preserve"> 아니라 각계 각층에서 이어져왔으나, 정부는 이러한 경고를 무시한</w:t>
      </w:r>
      <w:r>
        <w:rPr>
          <w:rFonts w:hint="eastAsia"/>
        </w:rPr>
        <w:t xml:space="preserve"> </w:t>
      </w:r>
      <w:r>
        <w:t xml:space="preserve">채 지속 가능하지 않은 현재의 건강보험 시스템을 근본적으로 고치려는 노력은 하지 않았다. </w:t>
      </w:r>
      <w:proofErr w:type="spellStart"/>
      <w:r>
        <w:t>노력은커녕</w:t>
      </w:r>
      <w:proofErr w:type="spellEnd"/>
      <w:r>
        <w:t xml:space="preserve"> 정부는 그동안 한방 행위 급여화 확대를 비롯한 포퓰리즘 정책만을 남발하고, 수가 후려치기와 무리한 삭감 등으로 통해 의료계만 쥐어짜면서 문제를 키</w:t>
      </w:r>
      <w:r>
        <w:rPr>
          <w:rFonts w:hint="eastAsia"/>
        </w:rPr>
        <w:t>우</w:t>
      </w:r>
      <w:r>
        <w:t>기만 했다.</w:t>
      </w:r>
    </w:p>
    <w:p w14:paraId="05DDA61F" w14:textId="77777777" w:rsidR="00357362" w:rsidRPr="0044237B" w:rsidRDefault="00357362" w:rsidP="00357362"/>
    <w:p w14:paraId="233AB966" w14:textId="77777777" w:rsidR="00357362" w:rsidRDefault="00357362" w:rsidP="00357362">
      <w:r>
        <w:rPr>
          <w:rFonts w:hint="eastAsia"/>
        </w:rPr>
        <w:t>정부의</w:t>
      </w:r>
      <w:r>
        <w:t xml:space="preserve"> 이러한 무책임한 행보로 인해 필수의료와 지역의료의 붕괴는 가속화되고 있고, </w:t>
      </w:r>
      <w:proofErr w:type="spellStart"/>
      <w:r>
        <w:t>땜질식</w:t>
      </w:r>
      <w:proofErr w:type="spellEnd"/>
      <w:r>
        <w:t xml:space="preserve"> 처방과 미봉책에 불과한 지원 정책으로 인해 </w:t>
      </w:r>
      <w:r>
        <w:rPr>
          <w:rFonts w:hint="eastAsia"/>
        </w:rPr>
        <w:t>의료 시스템은</w:t>
      </w:r>
      <w:r>
        <w:t xml:space="preserve"> 더욱 누더기가 되고 있다. 여기에 더해 최근 정부는 </w:t>
      </w:r>
      <w:proofErr w:type="spellStart"/>
      <w:r w:rsidRPr="00776909">
        <w:t>위탁관리료를</w:t>
      </w:r>
      <w:proofErr w:type="spellEnd"/>
      <w:r w:rsidRPr="00776909">
        <w:t xml:space="preserve"> 없애고 </w:t>
      </w:r>
      <w:proofErr w:type="spellStart"/>
      <w:r w:rsidRPr="00776909">
        <w:t>검체검사</w:t>
      </w:r>
      <w:proofErr w:type="spellEnd"/>
      <w:r w:rsidRPr="00776909">
        <w:t xml:space="preserve"> 및 영상검사 수가 인하를 예고하면서, 그나마 원가 이상의 보상이라고 보건복지부가 주장하고 있던 분야 마저도 원가 수준까지 끌어내리려 하고 있다.</w:t>
      </w:r>
      <w:r>
        <w:t xml:space="preserve"> 거기에 더해 관리급여 제도 도입으로 비급여 분야까지 정부가 통제하기 시작하면서, 의료기관들은 생존의 위기</w:t>
      </w:r>
      <w:r>
        <w:rPr>
          <w:rFonts w:hint="eastAsia"/>
        </w:rPr>
        <w:t>에</w:t>
      </w:r>
      <w:r>
        <w:t xml:space="preserve"> 내몰리고 있</w:t>
      </w:r>
      <w:r>
        <w:rPr>
          <w:rFonts w:hint="eastAsia"/>
        </w:rPr>
        <w:t>다</w:t>
      </w:r>
      <w:r>
        <w:t>.</w:t>
      </w:r>
    </w:p>
    <w:p w14:paraId="1EE73222" w14:textId="77777777" w:rsidR="00357362" w:rsidRPr="0044237B" w:rsidRDefault="00357362" w:rsidP="00357362"/>
    <w:p w14:paraId="267AFF0C" w14:textId="77777777" w:rsidR="00357362" w:rsidRDefault="00357362" w:rsidP="00357362">
      <w:r>
        <w:rPr>
          <w:rFonts w:hint="eastAsia"/>
        </w:rPr>
        <w:t>정부의</w:t>
      </w:r>
      <w:r>
        <w:t xml:space="preserve"> 이러한 막무가내식 수가 후려치기와 통제 강화 정책이 지속되면, 세계 최고를 자랑하던 대한민국의 의료 접근성은 수많은 의료기관들의 도산으로 인해 OECD 평균에도 미치지 못할 가능성이 높다. 대한민국 의료 시스템이 완전히 무너질 위기로 향하고 있음에도 </w:t>
      </w:r>
      <w:r>
        <w:rPr>
          <w:rFonts w:hint="eastAsia"/>
        </w:rPr>
        <w:t xml:space="preserve">불구하고 </w:t>
      </w:r>
      <w:r>
        <w:t>정부는 정신을 차리지 못한</w:t>
      </w:r>
      <w:r>
        <w:rPr>
          <w:rFonts w:hint="eastAsia"/>
        </w:rPr>
        <w:t xml:space="preserve"> </w:t>
      </w:r>
      <w:r>
        <w:t>채 포퓰리즘 정책에만 몰두하고 있</w:t>
      </w:r>
      <w:r>
        <w:rPr>
          <w:rFonts w:hint="eastAsia"/>
        </w:rPr>
        <w:t xml:space="preserve">다. </w:t>
      </w:r>
      <w:r>
        <w:t xml:space="preserve">정부의 </w:t>
      </w:r>
      <w:r>
        <w:rPr>
          <w:rFonts w:hint="eastAsia"/>
        </w:rPr>
        <w:t xml:space="preserve">이러한 </w:t>
      </w:r>
      <w:r>
        <w:t>무책임함을 극명하게 보여주는 사례가 바로 탈모 치료 급여화 확대 정책이다.</w:t>
      </w:r>
    </w:p>
    <w:p w14:paraId="579727C7" w14:textId="77777777" w:rsidR="00357362" w:rsidRDefault="00357362" w:rsidP="00357362"/>
    <w:p w14:paraId="5CDDF4E1" w14:textId="77777777" w:rsidR="00357362" w:rsidRDefault="00357362" w:rsidP="00357362">
      <w:r>
        <w:rPr>
          <w:rFonts w:hint="eastAsia"/>
        </w:rPr>
        <w:t>정은경</w:t>
      </w:r>
      <w:r>
        <w:t xml:space="preserve"> 보건복지부 장관은 지난 11일 올해 하반기에는 탈모 치료의 건강보험 급여 확대를 추진할 계획이라고 발표했다. 또한 보건복지부는 청년층이 탈모 문제를 예민하게 받아들임에 따라 청년기본법 등에서 정한 청년의 나이인 20~34살 대상으로 탈모약을 건강보험 적용하는 방안을 검토하고 있다고 밝혔다. 원형 탈모나 지루</w:t>
      </w:r>
      <w:r>
        <w:rPr>
          <w:rFonts w:hint="eastAsia"/>
        </w:rPr>
        <w:t>성</w:t>
      </w:r>
      <w:r>
        <w:t xml:space="preserve"> 피부염</w:t>
      </w:r>
      <w:r>
        <w:rPr>
          <w:rFonts w:hint="eastAsia"/>
        </w:rPr>
        <w:t xml:space="preserve"> 등</w:t>
      </w:r>
      <w:r>
        <w:t>으로 인한 병적 탈모가 아니라 남성형 탈모 문제</w:t>
      </w:r>
      <w:r>
        <w:rPr>
          <w:rFonts w:hint="eastAsia"/>
        </w:rPr>
        <w:t>의</w:t>
      </w:r>
      <w:r>
        <w:t xml:space="preserve"> 해결은 전세계적으로 질환</w:t>
      </w:r>
      <w:r>
        <w:rPr>
          <w:rFonts w:hint="eastAsia"/>
        </w:rPr>
        <w:t xml:space="preserve"> </w:t>
      </w:r>
      <w:r>
        <w:t>치료</w:t>
      </w:r>
      <w:r>
        <w:rPr>
          <w:rFonts w:hint="eastAsia"/>
        </w:rPr>
        <w:t>의 영역이</w:t>
      </w:r>
      <w:r>
        <w:t xml:space="preserve"> 아니라 미용의 영역에서 </w:t>
      </w:r>
      <w:r>
        <w:rPr>
          <w:rFonts w:hint="eastAsia"/>
        </w:rPr>
        <w:t>관리되고</w:t>
      </w:r>
      <w:r>
        <w:t xml:space="preserve"> 있다. 특히 상당수의 국가에서는 문화적으로 남성형 탈모는 자연스러운 현상으로 받아들이는 경우도 흔한 편이다.</w:t>
      </w:r>
    </w:p>
    <w:p w14:paraId="4A0831AE" w14:textId="77777777" w:rsidR="00357362" w:rsidRDefault="00357362" w:rsidP="00357362"/>
    <w:p w14:paraId="3766C72A" w14:textId="77777777" w:rsidR="00357362" w:rsidRDefault="00357362" w:rsidP="00357362">
      <w:r>
        <w:rPr>
          <w:rFonts w:hint="eastAsia"/>
        </w:rPr>
        <w:t>그런데</w:t>
      </w:r>
      <w:r>
        <w:t xml:space="preserve"> 대한민국에서는 청년층이 탈모에 민감하다는 이유만으로, 이미 고갈을 향해가고 있는 건강보험 재정을 낭비하면서까지 탈모 치료 급여 확대를 추진하고 있는 것이다. 정부의 논리대로라면 청년층이 외모적으로 민감해한다면, 다른 미용 수술이나 시술도 건강보험 급여의 대상이 되지 못할 이유가 없다. 또한 외모에 민감한 연령이 꼭 청년층에만 국한되는 것도 아니므로, 중장년층이나 노년층에 대한 탈모 치료 급여 확대도 논리적으로는 막을 수 없다.</w:t>
      </w:r>
    </w:p>
    <w:p w14:paraId="7CF35FC2" w14:textId="77777777" w:rsidR="00357362" w:rsidRDefault="00357362" w:rsidP="00357362"/>
    <w:p w14:paraId="336CB289" w14:textId="1FAD9CF3" w:rsidR="00CC50F3" w:rsidRPr="00B463F5" w:rsidRDefault="00357362" w:rsidP="00357362">
      <w:pPr>
        <w:widowControl/>
        <w:wordWrap/>
        <w:autoSpaceDE/>
        <w:autoSpaceDN/>
        <w:outlineLvl w:val="0"/>
        <w:rPr>
          <w:rFonts w:asciiTheme="minorEastAsia" w:hAnsiTheme="minorEastAsia" w:cs="굴림"/>
          <w:kern w:val="0"/>
          <w:sz w:val="28"/>
          <w:szCs w:val="28"/>
        </w:rPr>
      </w:pPr>
      <w:r>
        <w:rPr>
          <w:rFonts w:hint="eastAsia"/>
        </w:rPr>
        <w:t>결국</w:t>
      </w:r>
      <w:r>
        <w:t xml:space="preserve"> 정부가 청년층에 한해 탈모 치료의 급여를 확대하려는 행태는 노골적으로 해당 연령층의 환심을 사기 위해 건강보험 재정을 낭비하는 포퓰리즘 정책이자 </w:t>
      </w:r>
      <w:r>
        <w:rPr>
          <w:rFonts w:hint="eastAsia"/>
        </w:rPr>
        <w:t xml:space="preserve">대국민 </w:t>
      </w:r>
      <w:r>
        <w:t xml:space="preserve">배임 행위에 다름아니다. 이에 </w:t>
      </w:r>
      <w:proofErr w:type="spellStart"/>
      <w:r>
        <w:t>바른의료연구소는</w:t>
      </w:r>
      <w:proofErr w:type="spellEnd"/>
      <w:r>
        <w:t xml:space="preserve"> 예고된 건강보험 재정 붕괴 위기는 외면하고, 탈모 치료 급여화와 같은 포퓰리즘 정책만 남발하는 무책임한 정부의 행보를 규탄한다. </w:t>
      </w:r>
      <w:r>
        <w:rPr>
          <w:rFonts w:hint="eastAsia"/>
        </w:rPr>
        <w:t>따라서</w:t>
      </w:r>
      <w:r>
        <w:t xml:space="preserve"> 청년층 탈모 치료 급여화 정책을 전면 백지화하고, 붕괴 위기에 처한 대한민국 의료 시스템을 근본적으로 개선시킬 수 있는 대책 </w:t>
      </w:r>
      <w:r>
        <w:rPr>
          <w:rFonts w:hint="eastAsia"/>
        </w:rPr>
        <w:t>마련을</w:t>
      </w:r>
      <w:r>
        <w:t xml:space="preserve"> 위해 의료계의 의견을 경청하기를 요구하는 바이다.</w:t>
      </w:r>
    </w:p>
    <w:p w14:paraId="550DD824" w14:textId="0F29BF50" w:rsidR="00CC50F3" w:rsidRPr="00EF1C74" w:rsidRDefault="00CC50F3" w:rsidP="00CC50F3">
      <w:pPr>
        <w:widowControl/>
        <w:wordWrap/>
        <w:autoSpaceDE/>
        <w:autoSpaceDN/>
        <w:jc w:val="center"/>
        <w:outlineLvl w:val="0"/>
        <w:rPr>
          <w:rFonts w:asciiTheme="minorEastAsia" w:hAnsiTheme="minorEastAsia" w:cs="굴림"/>
          <w:kern w:val="0"/>
          <w:sz w:val="28"/>
          <w:szCs w:val="28"/>
        </w:rPr>
      </w:pPr>
    </w:p>
    <w:p w14:paraId="0AEA3782" w14:textId="77777777" w:rsidR="00034388" w:rsidRPr="00EF1C74" w:rsidRDefault="00034388" w:rsidP="00CC50F3">
      <w:pPr>
        <w:widowControl/>
        <w:wordWrap/>
        <w:autoSpaceDE/>
        <w:autoSpaceDN/>
        <w:jc w:val="center"/>
        <w:rPr>
          <w:rFonts w:asciiTheme="majorHAnsi" w:eastAsiaTheme="majorHAnsi" w:hAnsiTheme="majorHAnsi"/>
          <w:b/>
          <w:sz w:val="28"/>
          <w:szCs w:val="28"/>
        </w:rPr>
      </w:pPr>
    </w:p>
    <w:p w14:paraId="2D163C7E" w14:textId="58FDB865"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ED3063">
        <w:rPr>
          <w:rFonts w:asciiTheme="majorHAnsi" w:eastAsiaTheme="majorHAnsi" w:hAnsiTheme="majorHAnsi" w:hint="eastAsia"/>
          <w:b/>
          <w:sz w:val="28"/>
          <w:szCs w:val="28"/>
        </w:rPr>
        <w:t>6</w:t>
      </w:r>
      <w:r w:rsidRPr="000E6694">
        <w:rPr>
          <w:rFonts w:asciiTheme="majorHAnsi" w:eastAsiaTheme="majorHAnsi" w:hAnsiTheme="majorHAnsi" w:hint="eastAsia"/>
          <w:b/>
          <w:sz w:val="28"/>
          <w:szCs w:val="28"/>
        </w:rPr>
        <w:t xml:space="preserve">년 </w:t>
      </w:r>
      <w:r w:rsidR="00357362">
        <w:rPr>
          <w:rFonts w:asciiTheme="majorHAnsi" w:eastAsiaTheme="majorHAnsi" w:hAnsiTheme="majorHAnsi"/>
          <w:b/>
          <w:sz w:val="28"/>
          <w:szCs w:val="28"/>
        </w:rPr>
        <w:t>6</w:t>
      </w:r>
      <w:r w:rsidRPr="000E6694">
        <w:rPr>
          <w:rFonts w:asciiTheme="majorHAnsi" w:eastAsiaTheme="majorHAnsi" w:hAnsiTheme="majorHAnsi" w:hint="eastAsia"/>
          <w:b/>
          <w:sz w:val="28"/>
          <w:szCs w:val="28"/>
        </w:rPr>
        <w:t xml:space="preserve">월 </w:t>
      </w:r>
      <w:r w:rsidR="00357362">
        <w:rPr>
          <w:rFonts w:asciiTheme="majorHAnsi" w:eastAsiaTheme="majorHAnsi" w:hAnsiTheme="majorHAnsi"/>
          <w:b/>
          <w:sz w:val="28"/>
          <w:szCs w:val="28"/>
        </w:rPr>
        <w:t>18</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04254E"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4DCD" w14:textId="77777777" w:rsidR="0004254E" w:rsidRDefault="0004254E" w:rsidP="00971A3D">
      <w:r>
        <w:separator/>
      </w:r>
    </w:p>
  </w:endnote>
  <w:endnote w:type="continuationSeparator" w:id="0">
    <w:p w14:paraId="72E9F16D" w14:textId="77777777" w:rsidR="0004254E" w:rsidRDefault="0004254E"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FF70B" w14:textId="77777777" w:rsidR="0004254E" w:rsidRDefault="0004254E" w:rsidP="00971A3D">
      <w:r>
        <w:separator/>
      </w:r>
    </w:p>
  </w:footnote>
  <w:footnote w:type="continuationSeparator" w:id="0">
    <w:p w14:paraId="5DD1CF22" w14:textId="77777777" w:rsidR="0004254E" w:rsidRDefault="0004254E"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04823"/>
    <w:rsid w:val="00034388"/>
    <w:rsid w:val="0004254E"/>
    <w:rsid w:val="00086F37"/>
    <w:rsid w:val="000B0B5B"/>
    <w:rsid w:val="000D6AB4"/>
    <w:rsid w:val="000F34FC"/>
    <w:rsid w:val="001003F2"/>
    <w:rsid w:val="001248AA"/>
    <w:rsid w:val="00173EE7"/>
    <w:rsid w:val="0019206E"/>
    <w:rsid w:val="001A487C"/>
    <w:rsid w:val="001C7C95"/>
    <w:rsid w:val="001F28DE"/>
    <w:rsid w:val="001F2FD2"/>
    <w:rsid w:val="0020144A"/>
    <w:rsid w:val="0021467B"/>
    <w:rsid w:val="00217486"/>
    <w:rsid w:val="00230E80"/>
    <w:rsid w:val="0028237E"/>
    <w:rsid w:val="002854B7"/>
    <w:rsid w:val="002D441E"/>
    <w:rsid w:val="002F0152"/>
    <w:rsid w:val="00306BE3"/>
    <w:rsid w:val="00324D29"/>
    <w:rsid w:val="003324D6"/>
    <w:rsid w:val="003557D6"/>
    <w:rsid w:val="003560CB"/>
    <w:rsid w:val="00357362"/>
    <w:rsid w:val="00371FA7"/>
    <w:rsid w:val="00372538"/>
    <w:rsid w:val="00380B31"/>
    <w:rsid w:val="00386C2B"/>
    <w:rsid w:val="003C5266"/>
    <w:rsid w:val="004062D8"/>
    <w:rsid w:val="00436383"/>
    <w:rsid w:val="00443CCB"/>
    <w:rsid w:val="004E48B7"/>
    <w:rsid w:val="00536014"/>
    <w:rsid w:val="005422E0"/>
    <w:rsid w:val="00564160"/>
    <w:rsid w:val="00584AA4"/>
    <w:rsid w:val="005B0FD5"/>
    <w:rsid w:val="005E1F5C"/>
    <w:rsid w:val="005F0F58"/>
    <w:rsid w:val="005F1442"/>
    <w:rsid w:val="00621909"/>
    <w:rsid w:val="006573FE"/>
    <w:rsid w:val="006643BF"/>
    <w:rsid w:val="00675A85"/>
    <w:rsid w:val="006A0F55"/>
    <w:rsid w:val="006B0204"/>
    <w:rsid w:val="006B4AD4"/>
    <w:rsid w:val="006C2F2B"/>
    <w:rsid w:val="00746A5D"/>
    <w:rsid w:val="00754331"/>
    <w:rsid w:val="0076163E"/>
    <w:rsid w:val="00795A56"/>
    <w:rsid w:val="007E5334"/>
    <w:rsid w:val="007F68D7"/>
    <w:rsid w:val="00862071"/>
    <w:rsid w:val="008638CB"/>
    <w:rsid w:val="00895D0D"/>
    <w:rsid w:val="008C7CBD"/>
    <w:rsid w:val="008F2634"/>
    <w:rsid w:val="008F6462"/>
    <w:rsid w:val="009000BA"/>
    <w:rsid w:val="0091383F"/>
    <w:rsid w:val="00971A3D"/>
    <w:rsid w:val="00984277"/>
    <w:rsid w:val="009B3E8F"/>
    <w:rsid w:val="009F0FFF"/>
    <w:rsid w:val="00A70A01"/>
    <w:rsid w:val="00A9303C"/>
    <w:rsid w:val="00AA7F0E"/>
    <w:rsid w:val="00AB518F"/>
    <w:rsid w:val="00B157AF"/>
    <w:rsid w:val="00B25ABD"/>
    <w:rsid w:val="00B463F5"/>
    <w:rsid w:val="00B7611D"/>
    <w:rsid w:val="00BE2527"/>
    <w:rsid w:val="00BE42BB"/>
    <w:rsid w:val="00BF1F98"/>
    <w:rsid w:val="00C231AA"/>
    <w:rsid w:val="00C272A2"/>
    <w:rsid w:val="00C32040"/>
    <w:rsid w:val="00C70BAB"/>
    <w:rsid w:val="00CB6EBE"/>
    <w:rsid w:val="00CC50F3"/>
    <w:rsid w:val="00CC5455"/>
    <w:rsid w:val="00D60AC4"/>
    <w:rsid w:val="00D96BF2"/>
    <w:rsid w:val="00DB16E6"/>
    <w:rsid w:val="00DC61BB"/>
    <w:rsid w:val="00DD1A8B"/>
    <w:rsid w:val="00DE62EF"/>
    <w:rsid w:val="00DF4760"/>
    <w:rsid w:val="00E14DF8"/>
    <w:rsid w:val="00E834D0"/>
    <w:rsid w:val="00EB63DD"/>
    <w:rsid w:val="00EB6BDE"/>
    <w:rsid w:val="00ED3063"/>
    <w:rsid w:val="00EF1C74"/>
    <w:rsid w:val="00F30452"/>
    <w:rsid w:val="00FB5103"/>
    <w:rsid w:val="00FD6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360</Words>
  <Characters>2058</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3</cp:revision>
  <dcterms:created xsi:type="dcterms:W3CDTF">2026-06-18T00:20:00Z</dcterms:created>
  <dcterms:modified xsi:type="dcterms:W3CDTF">2026-06-18T00:22:00Z</dcterms:modified>
</cp:coreProperties>
</file>